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1" w:rsidRDefault="00756ADA" w:rsidP="00756ADA">
      <w:pPr>
        <w:jc w:val="center"/>
        <w:rPr>
          <w:rFonts w:ascii="宋体" w:eastAsia="宋体" w:hAnsi="宋体"/>
          <w:sz w:val="28"/>
          <w:szCs w:val="28"/>
        </w:rPr>
      </w:pPr>
      <w:r w:rsidRPr="00756ADA">
        <w:rPr>
          <w:rFonts w:ascii="宋体" w:eastAsia="宋体" w:hAnsi="宋体" w:hint="eastAsia"/>
          <w:sz w:val="28"/>
          <w:szCs w:val="28"/>
        </w:rPr>
        <w:t>我校教师获奖名单</w:t>
      </w:r>
    </w:p>
    <w:p w:rsidR="00756ADA" w:rsidRPr="00756ADA" w:rsidRDefault="00756ADA" w:rsidP="00756ADA">
      <w:pPr>
        <w:jc w:val="center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tbl>
      <w:tblPr>
        <w:tblW w:w="8603" w:type="dxa"/>
        <w:tblLayout w:type="fixed"/>
        <w:tblLook w:val="04A0" w:firstRow="1" w:lastRow="0" w:firstColumn="1" w:lastColumn="0" w:noHBand="0" w:noVBand="1"/>
      </w:tblPr>
      <w:tblGrid>
        <w:gridCol w:w="758"/>
        <w:gridCol w:w="946"/>
        <w:gridCol w:w="2636"/>
        <w:gridCol w:w="2200"/>
        <w:gridCol w:w="1208"/>
        <w:gridCol w:w="855"/>
      </w:tblGrid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FFFFFF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FFFFFF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姓名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FFFFFF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成果名称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出版单位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成果形式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Cs w:val="21"/>
              </w:rPr>
              <w:t>等级</w:t>
            </w:r>
          </w:p>
        </w:tc>
      </w:tr>
      <w:tr w:rsidR="00756ADA" w:rsidRPr="00756ADA" w:rsidTr="00756ADA">
        <w:trPr>
          <w:trHeight w:val="5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杨志亭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基于生态范式的翻译专业课程思政体系构建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《中国翻译》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56ADA" w:rsidRPr="00756ADA" w:rsidTr="00756ADA">
        <w:trPr>
          <w:trHeight w:val="5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祝朝伟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体认翻译学：一种新范式的兴起 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《中国翻译》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56ADA" w:rsidRPr="00756ADA" w:rsidTr="00756ADA">
        <w:trPr>
          <w:trHeight w:val="5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蒋林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i/>
                <w:iCs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Cs w:val="21"/>
              </w:rPr>
              <w:t>Hallucinatory Realism in Chinese Literature: Essays on Mo Yan and His Novels in China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Palgrave Macmillan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林香兰</w:t>
            </w: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金台</w:t>
            </w: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喆</w:t>
            </w:r>
            <w:proofErr w:type="gramEnd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禹尚烈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中层理论：东西方思想会通下的中国史研究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韩国</w:t>
            </w: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学古房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刁洪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Cinematic literary translation: the case of </w:t>
            </w:r>
            <w:r w:rsidRPr="00756ADA"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Cs w:val="21"/>
              </w:rPr>
              <w:t>A Hero Born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Cs w:val="21"/>
              </w:rPr>
              <w:t>Translation Studies</w:t>
            </w: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(SSCI, A&amp;HCI)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李文婷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无处不在的翻译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中译出版社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赵小兵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布拉特·奥库扎瓦诗歌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李海峰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战争与文明：从路易十四到拿破仑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中国人民大学出版社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廖峻</w:t>
            </w: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饶以苹</w:t>
            </w: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陈莹超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德国技术史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中国科学技术出版社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钟毅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20世纪尤金·奥尼尔戏剧汉译研究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浙江大学出版社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56ADA" w:rsidRPr="00756ADA" w:rsidTr="00756ADA">
        <w:trPr>
          <w:trHeight w:val="5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朱斌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价值的复现：汉学家韩南对《平妖传》的英译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《汉学研究》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8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王杨</w:t>
            </w: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胡安江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中国现当代文学在韩国的译介与传播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《外国语文》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唐昉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面向国际传播的译者能力培养——以《习近平谈治国理政》英译赏析课程为例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《外国语文》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赵银川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Comparative Study on Two Thai Versions of Li Sao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Journal of Sinology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黄进财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世界是怎样被连接在一起的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信出版</w:t>
            </w:r>
            <w:proofErr w:type="gramEnd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集团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吴昊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食草都市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五洲传媒出版社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5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proofErr w:type="gramStart"/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童亚星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尊严、遗忘和纸条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《世界文学》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译作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56ADA" w:rsidRPr="00756ADA" w:rsidTr="00756ADA">
        <w:trPr>
          <w:trHeight w:val="8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赵国月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“角色转移”下的译者社会化行为——基于三个《西行漫记》汉译本的考察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《翻译季刊》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DA" w:rsidRPr="00756ADA" w:rsidRDefault="00756ADA" w:rsidP="00756ADA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56AD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756ADA" w:rsidRDefault="00756ADA">
      <w:pPr>
        <w:rPr>
          <w:rFonts w:hint="eastAsia"/>
        </w:rPr>
      </w:pPr>
    </w:p>
    <w:sectPr w:rsidR="0075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DA"/>
    <w:rsid w:val="00756ADA"/>
    <w:rsid w:val="00C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3B8E"/>
  <w15:chartTrackingRefBased/>
  <w15:docId w15:val="{1C73EDC8-79CD-415F-88EA-0F5508B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xt256.com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1</cp:revision>
  <dcterms:created xsi:type="dcterms:W3CDTF">2023-12-04T00:49:00Z</dcterms:created>
  <dcterms:modified xsi:type="dcterms:W3CDTF">2023-12-04T00:50:00Z</dcterms:modified>
</cp:coreProperties>
</file>