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sz w:val="28"/>
          <w:szCs w:val="28"/>
        </w:rPr>
      </w:pPr>
      <w:r>
        <w:rPr>
          <w:rFonts w:hint="eastAsia" w:ascii="宋体" w:hAnsi="宋体" w:cs="宋体"/>
          <w:sz w:val="28"/>
          <w:szCs w:val="28"/>
        </w:rPr>
        <w:t>附件：</w:t>
      </w:r>
    </w:p>
    <w:p>
      <w:pPr>
        <w:ind w:firstLine="3600" w:firstLineChars="1000"/>
        <w:rPr>
          <w:rFonts w:hint="eastAsia" w:ascii="华文细黑" w:hAnsi="华文细黑" w:eastAsia="华文细黑" w:cs="宋体"/>
          <w:b/>
          <w:bCs/>
          <w:sz w:val="36"/>
          <w:szCs w:val="36"/>
        </w:rPr>
      </w:pPr>
      <w:r>
        <w:rPr>
          <w:rFonts w:hint="eastAsia" w:ascii="华文细黑" w:hAnsi="华文细黑" w:eastAsia="华文细黑" w:cs="宋体"/>
          <w:b/>
          <w:bCs/>
          <w:sz w:val="36"/>
          <w:szCs w:val="36"/>
        </w:rPr>
        <w:t>四川外国语大学</w:t>
      </w:r>
    </w:p>
    <w:p>
      <w:pPr>
        <w:snapToGrid w:val="0"/>
        <w:spacing w:line="380" w:lineRule="exact"/>
        <w:ind w:left="480"/>
        <w:jc w:val="center"/>
        <w:rPr>
          <w:rFonts w:hint="eastAsia" w:ascii="华文细黑" w:hAnsi="华文细黑" w:eastAsia="华文细黑" w:cs="仿宋"/>
          <w:b/>
          <w:sz w:val="44"/>
          <w:szCs w:val="44"/>
        </w:rPr>
      </w:pPr>
      <w:r>
        <w:rPr>
          <w:rFonts w:hint="eastAsia" w:ascii="华文细黑" w:hAnsi="华文细黑" w:eastAsia="华文细黑" w:cs="仿宋"/>
          <w:b/>
          <w:sz w:val="36"/>
          <w:szCs w:val="36"/>
        </w:rPr>
        <w:t>校内交通运输服务项目文件</w:t>
      </w:r>
    </w:p>
    <w:p>
      <w:pPr>
        <w:adjustRightInd w:val="0"/>
        <w:snapToGrid w:val="0"/>
        <w:spacing w:line="360" w:lineRule="auto"/>
        <w:rPr>
          <w:rFonts w:hint="eastAsia" w:ascii="宋体" w:hAnsi="宋体" w:cs="宋体"/>
          <w:b/>
          <w:bCs/>
          <w:sz w:val="30"/>
          <w:szCs w:val="30"/>
        </w:rPr>
      </w:pPr>
      <w:r>
        <w:rPr>
          <w:rFonts w:hint="eastAsia" w:ascii="宋体" w:hAnsi="宋体" w:cs="宋体"/>
          <w:b/>
          <w:bCs/>
          <w:sz w:val="24"/>
          <w:szCs w:val="24"/>
        </w:rPr>
        <w:t xml:space="preserve">     </w:t>
      </w:r>
    </w:p>
    <w:p>
      <w:pPr>
        <w:adjustRightInd w:val="0"/>
        <w:snapToGrid w:val="0"/>
        <w:ind w:firstLine="594" w:firstLineChars="198"/>
        <w:rPr>
          <w:rFonts w:hint="eastAsia" w:ascii="方正仿宋_GBK" w:hAnsi="方正仿宋_GBK" w:eastAsia="方正仿宋_GBK" w:cs="方正仿宋_GBK"/>
          <w:b/>
          <w:bCs/>
          <w:sz w:val="24"/>
          <w:szCs w:val="24"/>
        </w:rPr>
      </w:pPr>
      <w:r>
        <w:rPr>
          <w:rFonts w:hint="eastAsia" w:ascii="仿宋" w:hAnsi="仿宋" w:eastAsia="仿宋" w:cs="仿宋"/>
          <w:b/>
          <w:bCs/>
          <w:sz w:val="30"/>
          <w:szCs w:val="30"/>
        </w:rPr>
        <w:t xml:space="preserve">  </w:t>
      </w:r>
      <w:r>
        <w:rPr>
          <w:rFonts w:hint="eastAsia" w:ascii="仿宋" w:hAnsi="仿宋" w:eastAsia="仿宋" w:cs="仿宋"/>
          <w:b/>
          <w:bCs/>
          <w:sz w:val="24"/>
          <w:szCs w:val="24"/>
        </w:rPr>
        <w:t xml:space="preserve">            </w:t>
      </w:r>
      <w:r>
        <w:rPr>
          <w:rFonts w:hint="eastAsia" w:ascii="方正仿宋_GBK" w:hAnsi="方正仿宋_GBK" w:eastAsia="方正仿宋_GBK" w:cs="方正仿宋_GBK"/>
          <w:b/>
          <w:bCs/>
          <w:sz w:val="24"/>
          <w:szCs w:val="24"/>
        </w:rPr>
        <w:t xml:space="preserve">      一、项目概况</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（一）服务期：2021年4月--2024年7月15日。</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（二）服务所需车辆：3-6台。</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（三）服务路线：学校指定路线。</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（四）学校为运营车辆免费提供进出校园的交通路线，车辆运行中的一切费用由运营单位承担，经营所得收入归运营单位。</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p>
    <w:p>
      <w:pPr>
        <w:pStyle w:val="4"/>
        <w:adjustRightInd w:val="0"/>
        <w:snapToGrid w:val="0"/>
        <w:spacing w:line="240" w:lineRule="auto"/>
        <w:ind w:firstLine="2880" w:firstLineChars="1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二、参竞条件</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（一）具有独立法人资质，注册资金在1000万以上（含）。</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（二）具有健全的客运保险制度和完备的责任承担及赔偿能力。</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（三）驾驶员三年内无重大同等责任事故和无酒驾、无吸毒史等重大违规行为（单位盖章书面担保）。</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（四）具备相应的营运资质（单位工商营业执照、单位营运证、道路运输（客运）许可证、车辆营运证、车辆行驶证、驾驶员驾驶证、驾驶员从业资格证等）和足额的车辆投入。</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p>
    <w:p>
      <w:pPr>
        <w:adjustRightInd w:val="0"/>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 xml:space="preserve">    </w:t>
      </w:r>
      <w:bookmarkStart w:id="0" w:name="_Toc13967739"/>
      <w:r>
        <w:rPr>
          <w:rFonts w:hint="eastAsia" w:ascii="方正仿宋_GBK" w:hAnsi="方正仿宋_GBK" w:eastAsia="方正仿宋_GBK" w:cs="方正仿宋_GBK"/>
          <w:b/>
          <w:bCs/>
          <w:sz w:val="24"/>
          <w:szCs w:val="24"/>
        </w:rPr>
        <w:t xml:space="preserve">                        三、</w:t>
      </w:r>
      <w:r>
        <w:rPr>
          <w:rFonts w:hint="eastAsia" w:ascii="方正仿宋_GBK" w:hAnsi="方正仿宋_GBK" w:eastAsia="方正仿宋_GBK" w:cs="方正仿宋_GBK"/>
          <w:b/>
          <w:sz w:val="24"/>
          <w:szCs w:val="24"/>
        </w:rPr>
        <w:t>项目整体要求</w:t>
      </w:r>
      <w:bookmarkEnd w:id="0"/>
    </w:p>
    <w:p>
      <w:pPr>
        <w:pStyle w:val="4"/>
        <w:adjustRightInd w:val="0"/>
        <w:snapToGrid w:val="0"/>
        <w:spacing w:line="24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（一）经营要求</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1.运营单位应依法规范、诚信运营，遵守学校的一切制度，不做有损学校名誉和利益的事，不得违反安全、环境卫生及校园文明建设有关规定。</w:t>
      </w:r>
    </w:p>
    <w:p>
      <w:pPr>
        <w:pStyle w:val="4"/>
        <w:adjustRightInd w:val="0"/>
        <w:snapToGrid w:val="0"/>
        <w:spacing w:line="240" w:lineRule="auto"/>
        <w:ind w:leftChars="0"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2.车辆设施设备由参竞单位自理，实行独立经营核算，自负盈亏，承担经营中所发生的一切安全责任和债权债务。</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3.运营单位需提供校内交通车运营模式方案。</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4.按使用自愿原则，学生可以通过现金、电子支付（支付宝、微信等方式）。</w:t>
      </w:r>
    </w:p>
    <w:p>
      <w:pPr>
        <w:pStyle w:val="4"/>
        <w:adjustRightInd w:val="0"/>
        <w:snapToGrid w:val="0"/>
        <w:spacing w:line="24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 运营过程中，若发生人身伤亡事故，运营单位须按照法律法规规定的最高额度赔付。</w:t>
      </w:r>
    </w:p>
    <w:p>
      <w:pPr>
        <w:adjustRightInd w:val="0"/>
        <w:snapToGrid w:val="0"/>
        <w:ind w:firstLine="720" w:firstLineChars="3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6. 运营单位</w:t>
      </w:r>
      <w:r>
        <w:rPr>
          <w:rFonts w:hint="eastAsia" w:ascii="方正仿宋_GBK" w:hAnsi="方正仿宋_GBK" w:eastAsia="方正仿宋_GBK" w:cs="方正仿宋_GBK"/>
          <w:b/>
          <w:bCs/>
          <w:sz w:val="24"/>
          <w:szCs w:val="24"/>
        </w:rPr>
        <w:t>不得将校内交通车项目整体或部分分包给第三方运营。</w:t>
      </w:r>
    </w:p>
    <w:p>
      <w:pPr>
        <w:adjustRightInd w:val="0"/>
        <w:snapToGrid w:val="0"/>
        <w:ind w:right="142" w:firstLine="480" w:firstLineChars="200"/>
        <w:jc w:val="left"/>
        <w:outlineLvl w:val="1"/>
        <w:rPr>
          <w:rFonts w:hint="eastAsia" w:ascii="方正仿宋_GBK" w:hAnsi="方正仿宋_GBK" w:eastAsia="方正仿宋_GBK" w:cs="方正仿宋_GBK"/>
          <w:b/>
          <w:sz w:val="24"/>
          <w:szCs w:val="24"/>
        </w:rPr>
      </w:pPr>
      <w:bookmarkStart w:id="1" w:name="_Toc13967741"/>
      <w:r>
        <w:rPr>
          <w:rFonts w:hint="eastAsia" w:ascii="方正仿宋_GBK" w:hAnsi="方正仿宋_GBK" w:eastAsia="方正仿宋_GBK" w:cs="方正仿宋_GBK"/>
          <w:b/>
          <w:sz w:val="24"/>
          <w:szCs w:val="24"/>
        </w:rPr>
        <w:t>（三）服务要求</w:t>
      </w:r>
      <w:bookmarkEnd w:id="1"/>
    </w:p>
    <w:p>
      <w:pPr>
        <w:pStyle w:val="4"/>
        <w:adjustRightInd w:val="0"/>
        <w:snapToGrid w:val="0"/>
        <w:spacing w:line="24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1.车辆运行线路要求：运营单位必须遵循安全为主的原则，不得随意更改校内交通车运</w:t>
      </w:r>
    </w:p>
    <w:p>
      <w:pPr>
        <w:pStyle w:val="4"/>
        <w:adjustRightInd w:val="0"/>
        <w:snapToGrid w:val="0"/>
        <w:spacing w:line="240" w:lineRule="auto"/>
        <w:ind w:left="0" w:leftChars="0" w:firstLine="0" w:firstLine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行线路，如遇特殊情况需改变线路，必须向学校有关部门报备同意后更改，更改后的线路必须确保学生安全，不得超出成交价格。学校可根据实际需求调整交通路线，乘车价格不变。</w:t>
      </w:r>
    </w:p>
    <w:p>
      <w:pPr>
        <w:pStyle w:val="4"/>
        <w:adjustRightInd w:val="0"/>
        <w:snapToGrid w:val="0"/>
        <w:spacing w:line="240" w:lineRule="auto"/>
        <w:ind w:left="0" w:leftChars="0"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2.车辆数量要求：四川外国语大学现在校学生15000人左右，参竞单位需投入3-6台车辆运行，根据学生乘车情况合理安排调度车辆，合理安排发班时间，按时准点发班，严禁学生大面积积压。</w:t>
      </w:r>
    </w:p>
    <w:p>
      <w:pPr>
        <w:pStyle w:val="4"/>
        <w:adjustRightInd w:val="0"/>
        <w:snapToGrid w:val="0"/>
        <w:spacing w:line="24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3.运营单位需承诺车辆、驾驶员必须符合国家相关法律法规的要求。按时做好车辆维护和</w:t>
      </w:r>
    </w:p>
    <w:p>
      <w:pPr>
        <w:pStyle w:val="4"/>
        <w:adjustRightInd w:val="0"/>
        <w:snapToGrid w:val="0"/>
        <w:spacing w:line="240" w:lineRule="auto"/>
        <w:ind w:left="0"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日、周、月检查工作。驾驶员做到证照齐全，且在有效期范围内。应具有健全的客运保险制度体系及完备的赔偿能力。车辆运行中不得超载超员。GPS监控系统必须保持完好，做到实时监控，保存一周内视频实时安全监控。</w:t>
      </w:r>
    </w:p>
    <w:p>
      <w:pPr>
        <w:pStyle w:val="4"/>
        <w:adjustRightInd w:val="0"/>
        <w:snapToGrid w:val="0"/>
        <w:spacing w:line="240" w:lineRule="auto"/>
        <w:ind w:left="0" w:leftChars="0"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4.运营方案：运行时间：7:30-23点。发班时间：高峰时段5分钟一班；上课、放学和重大活动采取不定时发班（满座即发）。其余时间段发班时间由学校视实际需求提出运行方案。</w:t>
      </w:r>
    </w:p>
    <w:p>
      <w:pPr>
        <w:pStyle w:val="4"/>
        <w:adjustRightInd w:val="0"/>
        <w:snapToGrid w:val="0"/>
        <w:spacing w:line="240" w:lineRule="auto"/>
        <w:ind w:left="0" w:leftChars="0"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每天早7:30派1台车辆发班、8:30-9点钟陆续增派2-3台车辆参加运营，下课高峰时间段根据人流量增加2-3台车辆，晚22点后根据人流量，留足车辆延长至23点。如遇重大活动和学生开学、放假等将派4-6台车辆运行，保证学生不积压。</w:t>
      </w:r>
    </w:p>
    <w:p>
      <w:pPr>
        <w:pStyle w:val="4"/>
        <w:adjustRightInd w:val="0"/>
        <w:snapToGrid w:val="0"/>
        <w:spacing w:line="240" w:lineRule="auto"/>
        <w:ind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5.安全责任：运营单位必须承诺完全承担因车辆运行或运营单位行为（聘用人员行为视为单位行为）等原因造成事故的所有责任。</w:t>
      </w:r>
    </w:p>
    <w:p>
      <w:pPr>
        <w:pStyle w:val="4"/>
        <w:adjustRightInd w:val="0"/>
        <w:snapToGrid w:val="0"/>
        <w:spacing w:line="24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6.服务要求：运营单位具有完备的服务系统，完整的服务体系。车辆出现故障后，运营单</w:t>
      </w:r>
    </w:p>
    <w:p>
      <w:pPr>
        <w:pStyle w:val="4"/>
        <w:adjustRightInd w:val="0"/>
        <w:snapToGrid w:val="0"/>
        <w:spacing w:line="240" w:lineRule="auto"/>
        <w:ind w:left="0"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位接到学校通知后,应在不超过5分钟内作出响应，不超过10分钟解决故障，若无法解决故障应予立即更换车辆保障校内交通车正常运行。 </w:t>
      </w:r>
    </w:p>
    <w:p>
      <w:pPr>
        <w:adjustRightInd w:val="0"/>
        <w:snapToGrid w:val="0"/>
        <w:ind w:right="142" w:firstLine="240" w:firstLineChars="100"/>
        <w:jc w:val="left"/>
        <w:outlineLvl w:val="1"/>
        <w:rPr>
          <w:rFonts w:hint="eastAsia" w:ascii="方正仿宋_GBK" w:hAnsi="方正仿宋_GBK" w:eastAsia="方正仿宋_GBK" w:cs="方正仿宋_GBK"/>
          <w:b/>
          <w:sz w:val="24"/>
          <w:szCs w:val="24"/>
        </w:rPr>
      </w:pPr>
      <w:bookmarkStart w:id="2" w:name="_Toc13967743"/>
      <w:r>
        <w:rPr>
          <w:rFonts w:hint="eastAsia" w:ascii="方正仿宋_GBK" w:hAnsi="方正仿宋_GBK" w:eastAsia="方正仿宋_GBK" w:cs="方正仿宋_GBK"/>
          <w:b/>
          <w:sz w:val="24"/>
          <w:szCs w:val="24"/>
        </w:rPr>
        <w:t>（四）验收标准和验收方式</w:t>
      </w:r>
      <w:bookmarkEnd w:id="2"/>
    </w:p>
    <w:p>
      <w:pPr>
        <w:pStyle w:val="4"/>
        <w:adjustRightInd w:val="0"/>
        <w:snapToGrid w:val="0"/>
        <w:spacing w:line="24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学校根据本项目文件及参竞文件对车辆、驾驶员相关证照，保险等进行验收，项目运行</w:t>
      </w:r>
    </w:p>
    <w:p>
      <w:pPr>
        <w:pStyle w:val="4"/>
        <w:adjustRightInd w:val="0"/>
        <w:snapToGrid w:val="0"/>
        <w:spacing w:line="240" w:lineRule="auto"/>
        <w:ind w:left="0" w:leftChars="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过程中学校有权对成交单位项目运行情况对比项目文件、参竞文件及合同进行监控。</w:t>
      </w:r>
    </w:p>
    <w:p>
      <w:pPr>
        <w:adjustRightInd w:val="0"/>
        <w:snapToGrid w:val="0"/>
        <w:rPr>
          <w:rFonts w:hint="eastAsia" w:ascii="方正仿宋_GBK" w:hAnsi="方正仿宋_GBK" w:eastAsia="方正仿宋_GBK" w:cs="方正仿宋_GBK"/>
          <w:sz w:val="24"/>
          <w:szCs w:val="24"/>
        </w:rPr>
      </w:pPr>
    </w:p>
    <w:p>
      <w:pPr>
        <w:tabs>
          <w:tab w:val="left" w:pos="900"/>
        </w:tabs>
        <w:adjustRightInd w:val="0"/>
        <w:snapToGrid w:val="0"/>
        <w:ind w:firstLine="465"/>
        <w:rPr>
          <w:rFonts w:hint="eastAsia" w:ascii="方正仿宋_GBK" w:hAnsi="方正仿宋_GBK" w:eastAsia="方正仿宋_GBK" w:cs="方正仿宋_GBK"/>
          <w:sz w:val="24"/>
          <w:szCs w:val="24"/>
        </w:rPr>
      </w:pPr>
      <w:bookmarkStart w:id="3" w:name="_Toc179714297"/>
      <w:bookmarkStart w:id="4" w:name="_Toc102227318"/>
      <w:bookmarkStart w:id="5" w:name="_Toc409076854"/>
      <w:r>
        <w:rPr>
          <w:rFonts w:hint="eastAsia" w:ascii="方正仿宋_GBK" w:hAnsi="方正仿宋_GBK" w:eastAsia="方正仿宋_GBK" w:cs="方正仿宋_GBK"/>
          <w:sz w:val="24"/>
          <w:szCs w:val="24"/>
        </w:rPr>
        <w:t xml:space="preserve">                        四</w:t>
      </w:r>
      <w:r>
        <w:rPr>
          <w:rFonts w:hint="eastAsia" w:ascii="方正仿宋_GBK" w:hAnsi="方正仿宋_GBK" w:eastAsia="方正仿宋_GBK" w:cs="方正仿宋_GBK"/>
          <w:b/>
          <w:bCs/>
          <w:sz w:val="24"/>
          <w:szCs w:val="24"/>
        </w:rPr>
        <w:t>、参竞文件要求</w:t>
      </w:r>
      <w:bookmarkEnd w:id="3"/>
      <w:bookmarkEnd w:id="4"/>
      <w:bookmarkEnd w:id="5"/>
    </w:p>
    <w:p>
      <w:pPr>
        <w:adjustRightInd w:val="0"/>
        <w:snapToGrid w:val="0"/>
        <w:ind w:firstLine="480" w:firstLineChars="200"/>
        <w:rPr>
          <w:rStyle w:val="13"/>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（一）参竞文件由参竞单位提交文件及所作的一切有效补充、修改和承诺等文件组成。</w:t>
      </w:r>
    </w:p>
    <w:p>
      <w:pPr>
        <w:tabs>
          <w:tab w:val="left" w:pos="900"/>
        </w:tabs>
        <w:adjustRightInd w:val="0"/>
        <w:snapToGrid w:val="0"/>
        <w:ind w:firstLine="480" w:firstLineChars="200"/>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（二）参竞材料要求</w:t>
      </w:r>
    </w:p>
    <w:p>
      <w:pPr>
        <w:tabs>
          <w:tab w:val="left" w:pos="900"/>
        </w:tabs>
        <w:adjustRightInd w:val="0"/>
        <w:snapToGrid w:val="0"/>
        <w:ind w:firstLine="628"/>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1.参竞文件（一式三份：装订成册，标明目录和页码）：</w:t>
      </w:r>
    </w:p>
    <w:p>
      <w:pPr>
        <w:tabs>
          <w:tab w:val="left" w:pos="900"/>
        </w:tabs>
        <w:adjustRightInd w:val="0"/>
        <w:snapToGrid w:val="0"/>
        <w:ind w:firstLine="480" w:firstLineChars="20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（1）参竞函。</w:t>
      </w:r>
    </w:p>
    <w:p>
      <w:pPr>
        <w:tabs>
          <w:tab w:val="left" w:pos="900"/>
        </w:tabs>
        <w:adjustRightInd w:val="0"/>
        <w:snapToGrid w:val="0"/>
        <w:ind w:firstLine="480" w:firstLineChars="20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（2）</w:t>
      </w:r>
      <w:r>
        <w:rPr>
          <w:rFonts w:hint="eastAsia" w:ascii="方正仿宋_GBK" w:hAnsi="方正仿宋_GBK" w:eastAsia="方正仿宋_GBK" w:cs="方正仿宋_GBK"/>
          <w:bCs/>
          <w:kern w:val="0"/>
          <w:sz w:val="24"/>
          <w:szCs w:val="24"/>
        </w:rPr>
        <w:t>无重大违法记录声明</w:t>
      </w:r>
      <w:r>
        <w:rPr>
          <w:rFonts w:hint="eastAsia" w:ascii="方正仿宋_GBK" w:hAnsi="方正仿宋_GBK" w:eastAsia="方正仿宋_GBK" w:cs="方正仿宋_GBK"/>
          <w:bCs/>
          <w:color w:val="000000"/>
          <w:sz w:val="24"/>
          <w:szCs w:val="24"/>
        </w:rPr>
        <w:t>。</w:t>
      </w:r>
    </w:p>
    <w:p>
      <w:pPr>
        <w:tabs>
          <w:tab w:val="left" w:pos="900"/>
        </w:tabs>
        <w:adjustRightInd w:val="0"/>
        <w:snapToGrid w:val="0"/>
        <w:ind w:firstLine="480"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Cs/>
          <w:color w:val="000000"/>
          <w:sz w:val="24"/>
          <w:szCs w:val="24"/>
        </w:rPr>
        <w:t>（3）本项目文“评审办法（二）项目要求”中“基本要求”和“校内交通车项目要求与评分”所要求提供的所有资料。</w:t>
      </w:r>
    </w:p>
    <w:p>
      <w:pPr>
        <w:tabs>
          <w:tab w:val="left" w:pos="900"/>
        </w:tabs>
        <w:adjustRightInd w:val="0"/>
        <w:snapToGrid w:val="0"/>
        <w:ind w:firstLine="480" w:firstLineChars="200"/>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2.参竞文件除落款章外，须加盖单位骑缝章。</w:t>
      </w:r>
    </w:p>
    <w:p>
      <w:pPr>
        <w:tabs>
          <w:tab w:val="left" w:pos="900"/>
        </w:tabs>
        <w:adjustRightInd w:val="0"/>
        <w:snapToGrid w:val="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 xml:space="preserve">   （三）参竞文件的递交</w:t>
      </w:r>
    </w:p>
    <w:p>
      <w:pPr>
        <w:tabs>
          <w:tab w:val="left" w:pos="900"/>
        </w:tabs>
        <w:adjustRightInd w:val="0"/>
        <w:snapToGrid w:val="0"/>
        <w:ind w:firstLine="49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参竞文件应装入文件袋或信封内并用胶水密封，封口处加盖参竞单位公章，并在文件袋上注明参竞单位名称。</w:t>
      </w:r>
    </w:p>
    <w:p>
      <w:pPr>
        <w:tabs>
          <w:tab w:val="left" w:pos="900"/>
        </w:tabs>
        <w:adjustRightInd w:val="0"/>
        <w:snapToGrid w:val="0"/>
        <w:ind w:firstLine="490"/>
        <w:rPr>
          <w:rFonts w:hint="eastAsia" w:ascii="方正仿宋_GBK" w:hAnsi="方正仿宋_GBK" w:eastAsia="方正仿宋_GBK" w:cs="方正仿宋_GBK"/>
          <w:b/>
          <w:sz w:val="24"/>
          <w:szCs w:val="24"/>
        </w:rPr>
      </w:pPr>
    </w:p>
    <w:p>
      <w:pPr>
        <w:adjustRightInd w:val="0"/>
        <w:snapToGrid w:val="0"/>
        <w:rPr>
          <w:rFonts w:hint="eastAsia" w:ascii="方正仿宋_GBK" w:hAnsi="方正仿宋_GBK" w:eastAsia="方正仿宋_GBK" w:cs="方正仿宋_GBK"/>
          <w:b/>
          <w:bCs/>
          <w:sz w:val="24"/>
          <w:szCs w:val="24"/>
        </w:rPr>
      </w:pPr>
      <w:bookmarkStart w:id="6" w:name="_Toc102227320"/>
      <w:bookmarkStart w:id="7" w:name="_Toc409076856"/>
      <w:r>
        <w:rPr>
          <w:rFonts w:hint="eastAsia" w:ascii="方正仿宋_GBK" w:hAnsi="方正仿宋_GBK" w:eastAsia="方正仿宋_GBK" w:cs="方正仿宋_GBK"/>
          <w:sz w:val="24"/>
          <w:szCs w:val="24"/>
        </w:rPr>
        <w:t xml:space="preserve"> </w:t>
      </w:r>
      <w:bookmarkEnd w:id="6"/>
      <w:bookmarkEnd w:id="7"/>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b/>
          <w:bCs/>
          <w:sz w:val="24"/>
          <w:szCs w:val="24"/>
        </w:rPr>
        <w:t>五、评审办法</w:t>
      </w:r>
    </w:p>
    <w:p>
      <w:pPr>
        <w:tabs>
          <w:tab w:val="left" w:pos="900"/>
        </w:tabs>
        <w:adjustRightInd w:val="0"/>
        <w:snapToGrid w:val="0"/>
        <w:ind w:firstLine="628"/>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（一）评审原则</w:t>
      </w:r>
    </w:p>
    <w:p>
      <w:pPr>
        <w:tabs>
          <w:tab w:val="left" w:pos="900"/>
        </w:tabs>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1、公开、公平、公正原则；</w:t>
      </w:r>
    </w:p>
    <w:p>
      <w:pPr>
        <w:adjustRightInd w:val="0"/>
        <w:snapToGrid w:val="0"/>
        <w:ind w:firstLine="480"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sz w:val="24"/>
          <w:szCs w:val="24"/>
        </w:rPr>
        <w:t>2、成交原则：综合评分高分成交原则；分数相同，则价低优先。</w:t>
      </w:r>
    </w:p>
    <w:p>
      <w:pPr>
        <w:tabs>
          <w:tab w:val="left" w:pos="900"/>
        </w:tabs>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3、保密的原则：校内交通运输项目的相关信息及资料不准以任何形式传递给项目小组成员以外的其他人员；</w:t>
      </w:r>
    </w:p>
    <w:p>
      <w:pPr>
        <w:tabs>
          <w:tab w:val="left" w:pos="900"/>
        </w:tabs>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4、集体决定的原则：拟成交人由评审小组集体决定，所形成的成交结果，须由评审小组成员签字确认。</w:t>
      </w:r>
    </w:p>
    <w:p>
      <w:pPr>
        <w:adjustRightInd w:val="0"/>
        <w:snapToGrid w:val="0"/>
        <w:ind w:firstLine="597" w:firstLineChars="24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（二）项目要求</w:t>
      </w:r>
    </w:p>
    <w:p>
      <w:pPr>
        <w:adjustRightInd w:val="0"/>
        <w:snapToGrid w:val="0"/>
        <w:ind w:firstLine="715" w:firstLineChars="298"/>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Cs/>
          <w:sz w:val="24"/>
          <w:szCs w:val="24"/>
        </w:rPr>
        <w:t>1.基本要求</w:t>
      </w:r>
    </w:p>
    <w:p>
      <w:pPr>
        <w:pStyle w:val="3"/>
        <w:adjustRightInd w:val="0"/>
        <w:snapToGrid w:val="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校内交通车服务项目参竞主体需同时满足以下条件：</w:t>
      </w:r>
    </w:p>
    <w:p>
      <w:p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（1）具有独立承担民事责任的能力；</w:t>
      </w:r>
    </w:p>
    <w:p>
      <w:pPr>
        <w:widowControl/>
        <w:adjustRightInd w:val="0"/>
        <w:snapToGrid w:val="0"/>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（2）工商登记经营范围须包含有道路旅客等相关业务项目；</w:t>
      </w:r>
    </w:p>
    <w:p>
      <w:p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（3）具有良好的商业信誉和健全的财务会计制度；</w:t>
      </w:r>
    </w:p>
    <w:p>
      <w:p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（4）具有履行合同所必需的车辆和专业技术能力；</w:t>
      </w:r>
    </w:p>
    <w:p>
      <w:p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（5）有依法缴纳税收和社会保障资金的良好记录；</w:t>
      </w:r>
    </w:p>
    <w:p>
      <w:pPr>
        <w:adjustRightInd w:val="0"/>
        <w:snapToGrid w:val="0"/>
        <w:ind w:right="140"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（6）法律、行政法规规定的其他条件；</w:t>
      </w:r>
    </w:p>
    <w:p>
      <w:pPr>
        <w:snapToGrid w:val="0"/>
        <w:spacing w:line="380" w:lineRule="exact"/>
        <w:ind w:firstLine="560" w:firstLineChars="200"/>
        <w:rPr>
          <w:rFonts w:hint="eastAsia" w:ascii="方正仿宋_GBK" w:hAnsi="方正仿宋_GBK" w:eastAsia="方正仿宋_GBK" w:cs="方正仿宋_GBK"/>
          <w:sz w:val="28"/>
          <w:szCs w:val="28"/>
        </w:rPr>
        <w:sectPr>
          <w:footerReference r:id="rId3" w:type="default"/>
          <w:pgSz w:w="11907" w:h="16840"/>
          <w:pgMar w:top="1134" w:right="1134" w:bottom="1134" w:left="1134" w:header="794" w:footer="709" w:gutter="0"/>
          <w:pgNumType w:start="1"/>
          <w:cols w:space="720" w:num="1"/>
          <w:docGrid w:type="linesAndChars" w:linePitch="380" w:charSpace="0"/>
        </w:sectPr>
      </w:pPr>
    </w:p>
    <w:p>
      <w:pPr>
        <w:snapToGrid w:val="0"/>
        <w:spacing w:line="380" w:lineRule="exact"/>
        <w:rPr>
          <w:rFonts w:hint="eastAsia" w:ascii="方正仿宋_GBK" w:hAnsi="方正仿宋_GBK" w:eastAsia="方正仿宋_GBK" w:cs="方正仿宋_GBK"/>
          <w:sz w:val="28"/>
          <w:szCs w:val="28"/>
        </w:rPr>
      </w:pPr>
      <w:bookmarkStart w:id="8" w:name="_Toc466546910"/>
      <w:bookmarkEnd w:id="8"/>
      <w:r>
        <w:rPr>
          <w:rFonts w:hint="eastAsia" w:ascii="方正仿宋_GBK" w:hAnsi="方正仿宋_GBK" w:eastAsia="方正仿宋_GBK" w:cs="方正仿宋_GBK"/>
          <w:bCs/>
          <w:sz w:val="28"/>
          <w:szCs w:val="28"/>
        </w:rPr>
        <w:t>2.校内交通车项目要求与评分</w:t>
      </w:r>
    </w:p>
    <w:tbl>
      <w:tblPr>
        <w:tblStyle w:val="7"/>
        <w:tblW w:w="15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130"/>
        <w:gridCol w:w="1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项目名称</w:t>
            </w:r>
          </w:p>
        </w:tc>
        <w:tc>
          <w:tcPr>
            <w:tcW w:w="1130"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车辆数量（台）</w:t>
            </w:r>
          </w:p>
        </w:tc>
        <w:tc>
          <w:tcPr>
            <w:tcW w:w="1308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120" w:firstLineChars="13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校内交通车项目要求与评分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1076" w:type="dxa"/>
            <w:tcBorders>
              <w:top w:val="single" w:color="auto" w:sz="4" w:space="0"/>
              <w:left w:val="single" w:color="auto" w:sz="4" w:space="0"/>
              <w:right w:val="single" w:color="auto" w:sz="4" w:space="0"/>
            </w:tcBorders>
            <w:vAlign w:val="center"/>
          </w:tcPr>
          <w:p>
            <w:pPr>
              <w:spacing w:line="500" w:lineRule="exact"/>
              <w:ind w:firstLine="241" w:firstLineChars="1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校内</w:t>
            </w:r>
          </w:p>
          <w:p>
            <w:pPr>
              <w:spacing w:line="500" w:lineRule="exact"/>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交通车</w:t>
            </w:r>
          </w:p>
        </w:tc>
        <w:tc>
          <w:tcPr>
            <w:tcW w:w="1130" w:type="dxa"/>
            <w:tcBorders>
              <w:top w:val="single" w:color="auto" w:sz="4" w:space="0"/>
              <w:left w:val="single" w:color="auto" w:sz="4" w:space="0"/>
              <w:right w:val="single" w:color="auto" w:sz="4" w:space="0"/>
            </w:tcBorders>
            <w:vAlign w:val="center"/>
          </w:tcPr>
          <w:p>
            <w:pPr>
              <w:spacing w:line="50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3-6台（不低于3台）</w:t>
            </w:r>
          </w:p>
        </w:tc>
        <w:tc>
          <w:tcPr>
            <w:tcW w:w="13080" w:type="dxa"/>
            <w:tcBorders>
              <w:top w:val="single" w:color="auto" w:sz="4" w:space="0"/>
              <w:left w:val="single" w:color="auto" w:sz="4" w:space="0"/>
              <w:bottom w:val="single" w:color="auto" w:sz="4" w:space="0"/>
              <w:right w:val="single" w:color="auto" w:sz="4" w:space="0"/>
            </w:tcBorders>
            <w:vAlign w:val="center"/>
          </w:tcPr>
          <w:p>
            <w:pPr>
              <w:numPr>
                <w:ilvl w:val="0"/>
                <w:numId w:val="1"/>
              </w:num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安全部分20分：</w:t>
            </w:r>
          </w:p>
          <w:p>
            <w:p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每月不低于2次安全培训（提供近5个月的安全培训记录）；</w:t>
            </w:r>
          </w:p>
          <w:p>
            <w:p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公安部门开具的3-6名驾驶员三年无重大安全事故证明；</w:t>
            </w:r>
          </w:p>
          <w:p>
            <w:p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GPS监控正常（提供近一周内的GPS监控记录及实时安全监控视频）；</w:t>
            </w:r>
          </w:p>
          <w:p>
            <w:p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车辆维保单位具有“大中型机动车维修许可资质”（复印件盖章）。</w:t>
            </w:r>
          </w:p>
          <w:p>
            <w:pPr>
              <w:adjustRightInd w:val="0"/>
              <w:snapToGrid w:val="0"/>
              <w:ind w:firstLine="2400" w:firstLineChars="10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缺少任何一样不得分。</w:t>
            </w:r>
          </w:p>
          <w:p>
            <w:p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2.证照5分：单位工商营业执照、单位营运证、道路运输（客运）许可证、车辆营运证、车辆行驶证、驾驶员驾驶证、驾驶员从业资格证（以上可用复印件盖鲜章）。缺少任何一样不得分。</w:t>
            </w:r>
            <w:r>
              <w:rPr>
                <w:rFonts w:hint="eastAsia" w:ascii="方正仿宋_GBK" w:hAnsi="方正仿宋_GBK" w:eastAsia="方正仿宋_GBK" w:cs="方正仿宋_GBK"/>
                <w:sz w:val="24"/>
                <w:szCs w:val="24"/>
              </w:rPr>
              <w:cr/>
            </w:r>
            <w:r>
              <w:rPr>
                <w:rFonts w:hint="eastAsia" w:ascii="方正仿宋_GBK" w:hAnsi="方正仿宋_GBK" w:eastAsia="方正仿宋_GBK" w:cs="方正仿宋_GBK"/>
                <w:sz w:val="24"/>
                <w:szCs w:val="24"/>
              </w:rPr>
              <w:t xml:space="preserve">    3．方案部分20分：（1）制定完备的运营流程及操作规范，确保各环节密切配合，协调作业，符合运营流程及操作规范的要求；（10分）（2）处理投诉信息和解决投诉问题的能力（规章制度、流程及案例等资料）。（10分）</w:t>
            </w:r>
          </w:p>
          <w:p>
            <w:p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4.车辆投入5分：3台得3分；4台4分，6台5分。</w:t>
            </w:r>
          </w:p>
          <w:p>
            <w:pPr>
              <w:adjustRightInd w:val="0"/>
              <w:snapToGrid w:val="0"/>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5.注册资金20分：1000万元，得10分；每增加1000万元，增加1分。</w:t>
            </w:r>
          </w:p>
          <w:p>
            <w:pPr>
              <w:adjustRightInd w:val="0"/>
              <w:snapToGrid w:val="0"/>
              <w:ind w:left="2580" w:leftChars="200" w:hanging="2160" w:hangingChars="9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 学校业绩满分10分：客运经验1年，得2分；每增加1年增加2分；不足1年，半年以上增加1分；不足半年，不计分。</w:t>
            </w:r>
          </w:p>
          <w:p>
            <w:pPr>
              <w:adjustRightInd w:val="0"/>
              <w:snapToGrid w:val="0"/>
              <w:ind w:left="2490" w:leftChars="500" w:hanging="1440" w:hangingChars="6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提供合同复印件（原件备查）或盖有鲜章的证明资料。</w:t>
            </w:r>
          </w:p>
          <w:p>
            <w:pPr>
              <w:adjustRightInd w:val="0"/>
              <w:snapToGrid w:val="0"/>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7.价格满分为20分：上山（下山）2元/次/人，10分；少0.1元，</w:t>
            </w:r>
            <w:r>
              <w:rPr>
                <w:rFonts w:hint="eastAsia" w:ascii="方正仿宋_GBK" w:hAnsi="方正仿宋_GBK" w:eastAsia="方正仿宋_GBK" w:cs="方正仿宋_GBK"/>
                <w:sz w:val="24"/>
                <w:szCs w:val="24"/>
                <w:lang w:val="en-US" w:eastAsia="zh-CN"/>
              </w:rPr>
              <w:t>增加</w:t>
            </w:r>
            <w:r>
              <w:rPr>
                <w:rFonts w:hint="eastAsia" w:ascii="方正仿宋_GBK" w:hAnsi="方正仿宋_GBK" w:eastAsia="方正仿宋_GBK" w:cs="方正仿宋_GBK"/>
                <w:sz w:val="24"/>
                <w:szCs w:val="24"/>
              </w:rPr>
              <w:t>两分。</w:t>
            </w:r>
          </w:p>
          <w:p>
            <w:pPr>
              <w:adjustRightInd w:val="0"/>
              <w:snapToGrid w:val="0"/>
              <w:ind w:firstLine="2880" w:firstLineChars="1200"/>
              <w:rPr>
                <w:rFonts w:hint="eastAsia" w:ascii="方正仿宋_GBK" w:hAnsi="方正仿宋_GBK" w:eastAsia="方正仿宋_GBK" w:cs="方正仿宋_GBK"/>
                <w:sz w:val="24"/>
                <w:szCs w:val="24"/>
              </w:rPr>
            </w:pPr>
          </w:p>
          <w:p>
            <w:pPr>
              <w:adjustRightInd w:val="0"/>
              <w:snapToGrid w:val="0"/>
              <w:ind w:firstLine="2880" w:firstLineChars="1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超出2元不得分。</w:t>
            </w:r>
          </w:p>
          <w:p>
            <w:pPr>
              <w:adjustRightInd w:val="0"/>
              <w:snapToGrid w:val="0"/>
              <w:ind w:firstLine="2640" w:firstLineChars="1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（成交后，实际价格不得高于成交价）</w:t>
            </w:r>
          </w:p>
          <w:p>
            <w:pPr>
              <w:spacing w:line="500" w:lineRule="exact"/>
              <w:rPr>
                <w:rFonts w:hint="eastAsia" w:ascii="方正仿宋_GBK" w:hAnsi="方正仿宋_GBK" w:eastAsia="方正仿宋_GBK" w:cs="方正仿宋_GBK"/>
                <w:sz w:val="24"/>
                <w:szCs w:val="24"/>
              </w:rPr>
            </w:pPr>
          </w:p>
        </w:tc>
      </w:tr>
    </w:tbl>
    <w:p>
      <w:pPr>
        <w:adjustRightInd w:val="0"/>
        <w:snapToGrid w:val="0"/>
        <w:spacing w:line="360" w:lineRule="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24"/>
          <w:szCs w:val="24"/>
        </w:rPr>
        <w:t>（二）评审依据</w:t>
      </w:r>
    </w:p>
    <w:p>
      <w:pPr>
        <w:adjustRightInd w:val="0"/>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评审的依据为参竞文件（含有效的补充文件），评审小组判断参竞文件对项目文件的响应仅基于参竞文件本身而不靠外部证据。</w:t>
      </w:r>
    </w:p>
    <w:p>
      <w:pPr>
        <w:tabs>
          <w:tab w:val="left" w:pos="900"/>
        </w:tabs>
        <w:adjustRightInd w:val="0"/>
        <w:snapToGrid w:val="0"/>
        <w:spacing w:line="360" w:lineRule="auto"/>
        <w:ind w:firstLine="482" w:firstLineChars="200"/>
        <w:rPr>
          <w:rFonts w:ascii="方正仿宋_GBK" w:hAnsi="方正仿宋_GBK" w:eastAsia="方正仿宋_GBK" w:cs="方正仿宋_GBK"/>
          <w:b/>
          <w:bCs/>
          <w:sz w:val="24"/>
          <w:szCs w:val="24"/>
        </w:rPr>
        <w:sectPr>
          <w:pgSz w:w="16838" w:h="11905" w:orient="landscape"/>
          <w:pgMar w:top="1134" w:right="1134" w:bottom="1134" w:left="1134" w:header="794" w:footer="709" w:gutter="0"/>
          <w:cols w:space="720" w:num="1"/>
          <w:docGrid w:linePitch="385" w:charSpace="0"/>
        </w:sectPr>
      </w:pPr>
    </w:p>
    <w:p>
      <w:pPr>
        <w:tabs>
          <w:tab w:val="left" w:pos="900"/>
        </w:tabs>
        <w:adjustRightInd w:val="0"/>
        <w:snapToGrid w:val="0"/>
        <w:spacing w:line="360" w:lineRule="auto"/>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（三）出现下列情况之一者为无效参竞：</w:t>
      </w:r>
    </w:p>
    <w:p>
      <w:pPr>
        <w:tabs>
          <w:tab w:val="left" w:pos="900"/>
        </w:tabs>
        <w:adjustRightInd w:val="0"/>
        <w:snapToGrid w:val="0"/>
        <w:spacing w:line="36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 xml:space="preserve">    1.不符合项目要求条件的；</w:t>
      </w:r>
    </w:p>
    <w:p>
      <w:pPr>
        <w:tabs>
          <w:tab w:val="left" w:pos="900"/>
        </w:tabs>
        <w:adjustRightInd w:val="0"/>
        <w:snapToGrid w:val="0"/>
        <w:spacing w:line="360" w:lineRule="auto"/>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2.提供虚假文件资料的；</w:t>
      </w:r>
    </w:p>
    <w:p>
      <w:pPr>
        <w:tabs>
          <w:tab w:val="left" w:pos="900"/>
        </w:tabs>
        <w:adjustRightInd w:val="0"/>
        <w:snapToGrid w:val="0"/>
        <w:spacing w:line="360" w:lineRule="auto"/>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3.参竞文件未规范密封的；</w:t>
      </w:r>
    </w:p>
    <w:p>
      <w:pPr>
        <w:tabs>
          <w:tab w:val="left" w:pos="900"/>
        </w:tabs>
        <w:adjustRightInd w:val="0"/>
        <w:snapToGrid w:val="0"/>
        <w:spacing w:line="360"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4.其他有关违反法律法规的情况。</w:t>
      </w:r>
      <w:r>
        <w:rPr>
          <w:rFonts w:hint="eastAsia" w:ascii="方正仿宋_GBK" w:hAnsi="方正仿宋_GBK" w:eastAsia="方正仿宋_GBK" w:cs="方正仿宋_GBK"/>
          <w:sz w:val="24"/>
          <w:szCs w:val="24"/>
        </w:rPr>
        <w:t xml:space="preserve"> </w:t>
      </w:r>
    </w:p>
    <w:p>
      <w:pPr>
        <w:tabs>
          <w:tab w:val="left" w:pos="900"/>
        </w:tabs>
        <w:adjustRightInd w:val="0"/>
        <w:snapToGrid w:val="0"/>
        <w:spacing w:line="360" w:lineRule="auto"/>
        <w:rPr>
          <w:rFonts w:hint="eastAsia" w:ascii="方正仿宋_GBK" w:hAnsi="方正仿宋_GBK" w:eastAsia="方正仿宋_GBK" w:cs="方正仿宋_GBK"/>
          <w:b/>
          <w:bCs/>
          <w:sz w:val="24"/>
          <w:szCs w:val="24"/>
        </w:rPr>
      </w:pPr>
    </w:p>
    <w:p>
      <w:pPr>
        <w:adjustRightInd w:val="0"/>
        <w:snapToGrid w:val="0"/>
        <w:spacing w:line="360" w:lineRule="auto"/>
        <w:ind w:firstLine="482"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 xml:space="preserve">                      六、成交通知及合同签订</w:t>
      </w:r>
    </w:p>
    <w:p>
      <w:pPr>
        <w:pStyle w:val="2"/>
        <w:tabs>
          <w:tab w:val="left" w:pos="993"/>
        </w:tabs>
        <w:adjustRightInd w:val="0"/>
        <w:snapToGrid w:val="0"/>
        <w:spacing w:before="0" w:after="0" w:line="360" w:lineRule="auto"/>
        <w:ind w:left="431" w:right="126" w:rightChars="60"/>
        <w:rPr>
          <w:rFonts w:hint="eastAsia" w:ascii="方正仿宋_GBK" w:hAnsi="方正仿宋_GBK" w:eastAsia="方正仿宋_GBK" w:cs="方正仿宋_GBK"/>
          <w:sz w:val="24"/>
          <w:szCs w:val="24"/>
        </w:rPr>
      </w:pPr>
      <w:bookmarkStart w:id="9" w:name="_Toc102227321"/>
      <w:bookmarkStart w:id="10" w:name="_Toc409076857"/>
      <w:r>
        <w:rPr>
          <w:rFonts w:hint="eastAsia" w:ascii="方正仿宋_GBK" w:hAnsi="方正仿宋_GBK" w:eastAsia="方正仿宋_GBK" w:cs="方正仿宋_GBK"/>
          <w:sz w:val="24"/>
          <w:szCs w:val="24"/>
        </w:rPr>
        <w:t>（一）成交通知</w:t>
      </w:r>
      <w:bookmarkEnd w:id="9"/>
      <w:bookmarkEnd w:id="10"/>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1、拟成交结果将在四川外国语大学校园网公示。公示期满无异议后，学校将以书面形式发出《成交通知书》；《成交通知书》一经发出即发生法律效力；</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2、《成交通知书》将作为签订协议的依据；</w:t>
      </w:r>
    </w:p>
    <w:p>
      <w:pPr>
        <w:adjustRightInd w:val="0"/>
        <w:snapToGrid w:val="0"/>
        <w:spacing w:line="360" w:lineRule="auto"/>
        <w:ind w:firstLine="482" w:firstLineChars="200"/>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3、签订合同时，根据学校整体规划的需要，学校有权提出项目全部或局部调整。</w:t>
      </w:r>
    </w:p>
    <w:p>
      <w:pPr>
        <w:pStyle w:val="2"/>
        <w:tabs>
          <w:tab w:val="left" w:pos="993"/>
        </w:tabs>
        <w:adjustRightInd w:val="0"/>
        <w:snapToGrid w:val="0"/>
        <w:spacing w:before="0" w:after="0" w:line="360" w:lineRule="auto"/>
        <w:ind w:left="431" w:right="126" w:rightChars="60"/>
        <w:rPr>
          <w:rFonts w:hint="eastAsia" w:ascii="方正仿宋_GBK" w:hAnsi="方正仿宋_GBK" w:eastAsia="方正仿宋_GBK" w:cs="方正仿宋_GBK"/>
          <w:sz w:val="24"/>
          <w:szCs w:val="24"/>
        </w:rPr>
      </w:pPr>
      <w:bookmarkStart w:id="11" w:name="_Toc102227322"/>
      <w:bookmarkStart w:id="12" w:name="_Toc409076858"/>
      <w:r>
        <w:rPr>
          <w:rFonts w:hint="eastAsia" w:ascii="方正仿宋_GBK" w:hAnsi="方正仿宋_GBK" w:eastAsia="方正仿宋_GBK" w:cs="方正仿宋_GBK"/>
          <w:sz w:val="24"/>
          <w:szCs w:val="24"/>
        </w:rPr>
        <w:t>（二）签订</w:t>
      </w:r>
      <w:bookmarkEnd w:id="11"/>
      <w:r>
        <w:rPr>
          <w:rFonts w:hint="eastAsia" w:ascii="方正仿宋_GBK" w:hAnsi="方正仿宋_GBK" w:eastAsia="方正仿宋_GBK" w:cs="方正仿宋_GBK"/>
          <w:sz w:val="24"/>
          <w:szCs w:val="24"/>
        </w:rPr>
        <w:t>合同</w:t>
      </w:r>
      <w:bookmarkEnd w:id="12"/>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1、资格复审</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1.1资格复审的对象是项目得分排序第一的拟成交人，即意向授予合同的参竞人；</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1.2资格复审的内容是对排序第一的拟成交候选人的履约能力、资格信誉以及学校认为有必要了解的其它问题作进一步的考查。</w:t>
      </w:r>
    </w:p>
    <w:p>
      <w:pPr>
        <w:adjustRightInd w:val="0"/>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2、资格复审的方式：</w:t>
      </w:r>
    </w:p>
    <w:p>
      <w:pPr>
        <w:adjustRightInd w:val="0"/>
        <w:snapToGrid w:val="0"/>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2.1 对资格复审对象进一步询问；</w:t>
      </w:r>
    </w:p>
    <w:p>
      <w:pPr>
        <w:adjustRightInd w:val="0"/>
        <w:snapToGrid w:val="0"/>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2.2 对资格复审对象进行实地考察；</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 资格复审对象必须如实回答和接受学校的询问和考察，并提供所需的有关资料。</w:t>
      </w:r>
    </w:p>
    <w:p>
      <w:pPr>
        <w:adjustRightInd w:val="0"/>
        <w:snapToGrid w:val="0"/>
        <w:spacing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3、学校有变更的权力：在向拟成交人授予成交通知书时，学校有权在项目文件确定的范围内变更非实质性内容；</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4、学校有接受和拒绝任何或所有参竞人的权力：为维护国家利益和公众利益，学校在授予合同之前仍有选择或拒绝任何或所有参竞人成交的权力；</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highlight w:val="none"/>
        </w:rPr>
        <w:t>5、成交参竞人按学校指定时</w:t>
      </w:r>
      <w:r>
        <w:rPr>
          <w:rFonts w:hint="eastAsia" w:ascii="方正仿宋_GBK" w:hAnsi="方正仿宋_GBK" w:eastAsia="方正仿宋_GBK" w:cs="方正仿宋_GBK"/>
          <w:sz w:val="24"/>
          <w:szCs w:val="24"/>
        </w:rPr>
        <w:t>间、地点与签订合同；</w:t>
      </w:r>
      <w:r>
        <w:rPr>
          <w:rStyle w:val="13"/>
          <w:rFonts w:hint="eastAsia" w:ascii="方正仿宋_GBK" w:hAnsi="方正仿宋_GBK" w:eastAsia="方正仿宋_GBK" w:cs="方正仿宋_GBK"/>
          <w:b/>
          <w:bCs/>
          <w:sz w:val="24"/>
          <w:szCs w:val="24"/>
        </w:rPr>
        <w:t>成交人和学校权利义务以最终签订合同内容确定的权利义务为准。</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6、项目文件、成交人的参竞文件及有效承诺文件等，均为签订合同的依据；</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7、如拟成交人放弃成交或在签订合同时擅自改变成交状态的，将取消其成交资格。</w:t>
      </w:r>
    </w:p>
    <w:p>
      <w:pPr>
        <w:tabs>
          <w:tab w:val="left" w:pos="900"/>
        </w:tabs>
        <w:adjustRightInd w:val="0"/>
        <w:snapToGrid w:val="0"/>
        <w:spacing w:line="360" w:lineRule="auto"/>
        <w:ind w:firstLine="480"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b/>
          <w:bCs/>
          <w:sz w:val="24"/>
          <w:szCs w:val="24"/>
        </w:rPr>
        <w:t xml:space="preserve">   </w:t>
      </w:r>
    </w:p>
    <w:p>
      <w:pPr>
        <w:tabs>
          <w:tab w:val="left" w:pos="900"/>
        </w:tabs>
        <w:adjustRightInd w:val="0"/>
        <w:snapToGrid w:val="0"/>
        <w:spacing w:line="360" w:lineRule="auto"/>
        <w:ind w:firstLine="3373" w:firstLineChars="14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七、项目文件说明</w:t>
      </w:r>
    </w:p>
    <w:p>
      <w:pPr>
        <w:adjustRightInd w:val="0"/>
        <w:snapToGrid w:val="0"/>
        <w:spacing w:line="360" w:lineRule="auto"/>
        <w:ind w:firstLine="573"/>
        <w:rPr>
          <w:rStyle w:val="13"/>
          <w:rFonts w:hint="eastAsia" w:ascii="方正仿宋_GBK" w:hAnsi="方正仿宋_GBK" w:eastAsia="方正仿宋_GBK" w:cs="方正仿宋_GBK"/>
          <w:sz w:val="24"/>
          <w:szCs w:val="24"/>
        </w:rPr>
      </w:pPr>
      <w:r>
        <w:rPr>
          <w:rStyle w:val="13"/>
          <w:rFonts w:hint="eastAsia" w:ascii="方正仿宋_GBK" w:hAnsi="方正仿宋_GBK" w:eastAsia="方正仿宋_GBK" w:cs="方正仿宋_GBK"/>
          <w:sz w:val="24"/>
          <w:szCs w:val="24"/>
        </w:rPr>
        <w:t>（一）学校所作的一切有效的书面通知、修改及补充，都是项目文件不可分割的部分。本次校内交通运输服务项目所有补遗文件（如果有）一律在四川外国语大学校园网上发布。</w:t>
      </w:r>
    </w:p>
    <w:p>
      <w:pPr>
        <w:adjustRightInd w:val="0"/>
        <w:snapToGrid w:val="0"/>
        <w:spacing w:line="360" w:lineRule="auto"/>
        <w:ind w:firstLine="480" w:firstLineChars="200"/>
        <w:rPr>
          <w:rStyle w:val="13"/>
          <w:rFonts w:hint="eastAsia" w:ascii="方正仿宋_GBK" w:hAnsi="方正仿宋_GBK" w:eastAsia="方正仿宋_GBK" w:cs="方正仿宋_GBK"/>
          <w:sz w:val="24"/>
          <w:szCs w:val="24"/>
        </w:rPr>
      </w:pPr>
      <w:r>
        <w:rPr>
          <w:rStyle w:val="13"/>
          <w:rFonts w:hint="eastAsia" w:ascii="方正仿宋_GBK" w:hAnsi="方正仿宋_GBK" w:eastAsia="方正仿宋_GBK" w:cs="方正仿宋_GBK"/>
          <w:sz w:val="24"/>
          <w:szCs w:val="24"/>
        </w:rPr>
        <w:t>（二）项目文件的解释</w:t>
      </w:r>
    </w:p>
    <w:p>
      <w:pPr>
        <w:adjustRightInd w:val="0"/>
        <w:snapToGrid w:val="0"/>
        <w:spacing w:line="360" w:lineRule="auto"/>
        <w:ind w:firstLine="480" w:firstLineChars="200"/>
        <w:rPr>
          <w:rStyle w:val="13"/>
          <w:rFonts w:hint="eastAsia" w:ascii="方正仿宋_GBK" w:hAnsi="方正仿宋_GBK" w:eastAsia="方正仿宋_GBK" w:cs="方正仿宋_GBK"/>
          <w:sz w:val="24"/>
          <w:szCs w:val="24"/>
        </w:rPr>
      </w:pPr>
      <w:r>
        <w:rPr>
          <w:rStyle w:val="13"/>
          <w:rFonts w:hint="eastAsia" w:ascii="方正仿宋_GBK" w:hAnsi="方正仿宋_GBK" w:eastAsia="方正仿宋_GBK" w:cs="方正仿宋_GBK"/>
          <w:sz w:val="24"/>
          <w:szCs w:val="24"/>
        </w:rPr>
        <w:t>项目文件的解释权归四川外国语大学。</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Style w:val="13"/>
          <w:rFonts w:hint="eastAsia" w:ascii="方正仿宋_GBK" w:hAnsi="方正仿宋_GBK" w:eastAsia="方正仿宋_GBK" w:cs="方正仿宋_GBK"/>
          <w:sz w:val="24"/>
          <w:szCs w:val="24"/>
        </w:rPr>
        <w:t>参竞人如对项目文件有疑问，必须在</w:t>
      </w:r>
      <w:r>
        <w:rPr>
          <w:rStyle w:val="13"/>
          <w:rFonts w:hint="eastAsia" w:ascii="方正仿宋_GBK" w:hAnsi="方正仿宋_GBK" w:eastAsia="方正仿宋_GBK" w:cs="方正仿宋_GBK"/>
          <w:b/>
          <w:bCs/>
          <w:sz w:val="24"/>
          <w:szCs w:val="24"/>
        </w:rPr>
        <w:t>报名前</w:t>
      </w:r>
      <w:r>
        <w:rPr>
          <w:rStyle w:val="13"/>
          <w:rFonts w:hint="eastAsia" w:ascii="方正仿宋_GBK" w:hAnsi="方正仿宋_GBK" w:eastAsia="方正仿宋_GBK" w:cs="方正仿宋_GBK"/>
          <w:sz w:val="24"/>
          <w:szCs w:val="24"/>
        </w:rPr>
        <w:t>以书面形式向我校提出，我校可视具体情况做出处理或答复。如参竞人未在规定时间内提出疑问，视为完全理解并同意本项目文件所有内容。一经进入参竞程序，即视为参竞人已详细阅读全部文件资料，完全理解文件所有条款内容并同意放弃对这方面有不明白及误解的权利。</w:t>
      </w:r>
      <w:r>
        <w:rPr>
          <w:rFonts w:hint="eastAsia" w:ascii="方正仿宋_GBK" w:hAnsi="方正仿宋_GBK" w:eastAsia="方正仿宋_GBK" w:cs="方正仿宋_GBK"/>
          <w:b/>
          <w:bCs/>
          <w:sz w:val="24"/>
          <w:szCs w:val="24"/>
        </w:rPr>
        <w:t xml:space="preserve">                              </w:t>
      </w:r>
    </w:p>
    <w:p>
      <w:pPr>
        <w:snapToGrid w:val="0"/>
        <w:spacing w:line="400" w:lineRule="exact"/>
        <w:ind w:firstLine="465"/>
        <w:rPr>
          <w:rFonts w:hint="eastAsia" w:ascii="方正仿宋_GBK" w:hAnsi="方正仿宋_GBK" w:eastAsia="方正仿宋_GBK" w:cs="方正仿宋_GBK"/>
          <w:sz w:val="24"/>
          <w:szCs w:val="28"/>
        </w:rPr>
      </w:pPr>
      <w:r>
        <w:rPr>
          <w:rFonts w:hint="eastAsia" w:ascii="方正仿宋_GBK" w:hAnsi="方正仿宋_GBK" w:eastAsia="方正仿宋_GBK" w:cs="方正仿宋_GBK"/>
          <w:b/>
          <w:kern w:val="0"/>
          <w:sz w:val="24"/>
          <w:szCs w:val="24"/>
        </w:rPr>
        <w:t>附件：</w:t>
      </w:r>
    </w:p>
    <w:p>
      <w:pPr>
        <w:adjustRightInd w:val="0"/>
        <w:snapToGrid w:val="0"/>
        <w:spacing w:line="360" w:lineRule="auto"/>
        <w:ind w:firstLine="600" w:firstLineChars="25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kern w:val="0"/>
          <w:sz w:val="24"/>
          <w:szCs w:val="24"/>
        </w:rPr>
        <w:t>1.参竞</w:t>
      </w:r>
      <w:r>
        <w:rPr>
          <w:rFonts w:hint="eastAsia" w:ascii="方正仿宋_GBK" w:hAnsi="方正仿宋_GBK" w:eastAsia="方正仿宋_GBK" w:cs="方正仿宋_GBK"/>
          <w:bCs/>
          <w:sz w:val="24"/>
          <w:szCs w:val="24"/>
        </w:rPr>
        <w:t>函</w:t>
      </w:r>
    </w:p>
    <w:p>
      <w:pPr>
        <w:adjustRightInd w:val="0"/>
        <w:snapToGrid w:val="0"/>
        <w:spacing w:line="360" w:lineRule="auto"/>
        <w:ind w:firstLine="600" w:firstLineChars="250"/>
        <w:rPr>
          <w:rFonts w:hint="eastAsia" w:ascii="方正仿宋_GBK" w:hAnsi="方正仿宋_GBK" w:eastAsia="方正仿宋_GBK" w:cs="方正仿宋_GBK"/>
          <w:bCs/>
          <w:kern w:val="0"/>
          <w:sz w:val="24"/>
          <w:szCs w:val="24"/>
        </w:rPr>
      </w:pPr>
      <w:r>
        <w:rPr>
          <w:rFonts w:hint="eastAsia" w:ascii="方正仿宋_GBK" w:hAnsi="方正仿宋_GBK" w:eastAsia="方正仿宋_GBK" w:cs="方正仿宋_GBK"/>
          <w:bCs/>
          <w:kern w:val="0"/>
          <w:sz w:val="24"/>
          <w:szCs w:val="24"/>
        </w:rPr>
        <w:t>2.无重大违法记录声明</w:t>
      </w:r>
    </w:p>
    <w:p>
      <w:pPr>
        <w:adjustRightInd w:val="0"/>
        <w:snapToGrid w:val="0"/>
        <w:spacing w:line="360" w:lineRule="auto"/>
        <w:ind w:firstLine="600" w:firstLineChars="250"/>
        <w:rPr>
          <w:rFonts w:hint="eastAsia" w:ascii="方正仿宋_GBK" w:hAnsi="方正仿宋_GBK" w:eastAsia="方正仿宋_GBK" w:cs="方正仿宋_GBK"/>
          <w:bCs/>
          <w:kern w:val="0"/>
          <w:sz w:val="24"/>
          <w:szCs w:val="24"/>
        </w:rPr>
      </w:pPr>
      <w:r>
        <w:rPr>
          <w:rFonts w:hint="eastAsia" w:ascii="方正仿宋_GBK" w:hAnsi="方正仿宋_GBK" w:eastAsia="方正仿宋_GBK" w:cs="方正仿宋_GBK"/>
          <w:bCs/>
          <w:kern w:val="0"/>
          <w:sz w:val="24"/>
          <w:szCs w:val="24"/>
          <w:lang w:val="en-US" w:eastAsia="zh-CN"/>
        </w:rPr>
        <w:t>3.</w:t>
      </w:r>
      <w:r>
        <w:rPr>
          <w:rFonts w:hint="eastAsia" w:ascii="方正仿宋_GBK" w:hAnsi="方正仿宋_GBK" w:eastAsia="方正仿宋_GBK" w:cs="方正仿宋_GBK"/>
          <w:bCs/>
          <w:kern w:val="0"/>
          <w:sz w:val="24"/>
          <w:szCs w:val="24"/>
        </w:rPr>
        <w:t>授权委托书（</w:t>
      </w:r>
      <w:r>
        <w:rPr>
          <w:rFonts w:hint="eastAsia" w:ascii="方正仿宋_GBK" w:hAnsi="方正仿宋_GBK" w:eastAsia="方正仿宋_GBK" w:cs="方正仿宋_GBK"/>
          <w:bCs/>
          <w:kern w:val="0"/>
          <w:sz w:val="24"/>
          <w:szCs w:val="24"/>
          <w:lang w:val="en-US" w:eastAsia="zh-CN"/>
        </w:rPr>
        <w:t>模板</w:t>
      </w:r>
      <w:r>
        <w:rPr>
          <w:rFonts w:hint="eastAsia" w:ascii="方正仿宋_GBK" w:hAnsi="方正仿宋_GBK" w:eastAsia="方正仿宋_GBK" w:cs="方正仿宋_GBK"/>
          <w:bCs/>
          <w:kern w:val="0"/>
          <w:sz w:val="24"/>
          <w:szCs w:val="24"/>
        </w:rPr>
        <w:t>）</w:t>
      </w:r>
    </w:p>
    <w:p>
      <w:pPr>
        <w:pStyle w:val="14"/>
        <w:adjustRightInd w:val="0"/>
        <w:snapToGrid w:val="0"/>
        <w:ind w:right="250" w:firstLine="600" w:firstLineChars="250"/>
        <w:rPr>
          <w:rFonts w:hint="eastAsia" w:ascii="方正仿宋_GBK" w:hAnsi="方正仿宋_GBK" w:eastAsia="方正仿宋_GBK" w:cs="方正仿宋_GBK"/>
          <w:bCs/>
          <w:szCs w:val="24"/>
        </w:rPr>
      </w:pPr>
    </w:p>
    <w:p>
      <w:pPr>
        <w:pStyle w:val="14"/>
        <w:adjustRightInd w:val="0"/>
        <w:snapToGrid w:val="0"/>
        <w:ind w:left="5565" w:leftChars="250" w:right="250" w:hanging="5040" w:hangingChars="2100"/>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Cs w:val="24"/>
        </w:rPr>
        <w:t xml:space="preserve">                                                                      </w:t>
      </w:r>
      <w:r>
        <w:rPr>
          <w:rFonts w:hint="eastAsia" w:ascii="方正仿宋_GBK" w:hAnsi="方正仿宋_GBK" w:eastAsia="方正仿宋_GBK" w:cs="方正仿宋_GBK"/>
          <w:bCs/>
          <w:sz w:val="28"/>
          <w:szCs w:val="28"/>
        </w:rPr>
        <w:t xml:space="preserve">     四川外国语大学</w:t>
      </w:r>
    </w:p>
    <w:p>
      <w:pPr>
        <w:pStyle w:val="14"/>
        <w:adjustRightInd w:val="0"/>
        <w:snapToGrid w:val="0"/>
        <w:ind w:right="250" w:firstLine="478" w:firstLineChars="171"/>
        <w:rPr>
          <w:rFonts w:hint="eastAsia" w:ascii="方正仿宋_GBK" w:hAnsi="方正仿宋_GBK" w:eastAsia="方正仿宋_GBK" w:cs="方正仿宋_GBK"/>
          <w:bCs/>
          <w:color w:val="auto"/>
          <w:sz w:val="28"/>
          <w:szCs w:val="28"/>
        </w:rPr>
      </w:pPr>
      <w:r>
        <w:rPr>
          <w:rFonts w:hint="eastAsia" w:ascii="方正仿宋_GBK" w:hAnsi="方正仿宋_GBK" w:eastAsia="方正仿宋_GBK" w:cs="方正仿宋_GBK"/>
          <w:bCs/>
          <w:sz w:val="28"/>
          <w:szCs w:val="28"/>
        </w:rPr>
        <w:t xml:space="preserve">                                  </w:t>
      </w:r>
      <w:r>
        <w:rPr>
          <w:rFonts w:hint="eastAsia" w:ascii="方正仿宋_GBK" w:hAnsi="方正仿宋_GBK" w:eastAsia="方正仿宋_GBK" w:cs="方正仿宋_GBK"/>
          <w:bCs/>
          <w:color w:val="auto"/>
          <w:sz w:val="28"/>
          <w:szCs w:val="28"/>
        </w:rPr>
        <w:t xml:space="preserve"> </w:t>
      </w:r>
      <w:r>
        <w:rPr>
          <w:rFonts w:hint="eastAsia" w:ascii="方正仿宋_GBK" w:hAnsi="方正仿宋_GBK" w:eastAsia="方正仿宋_GBK" w:cs="方正仿宋_GBK"/>
          <w:bCs/>
          <w:color w:val="auto"/>
          <w:sz w:val="28"/>
          <w:szCs w:val="28"/>
          <w:lang w:val="en-US" w:eastAsia="zh-CN"/>
        </w:rPr>
        <w:t xml:space="preserve"> </w:t>
      </w:r>
      <w:r>
        <w:rPr>
          <w:rFonts w:hint="eastAsia" w:ascii="方正仿宋_GBK" w:hAnsi="方正仿宋_GBK" w:eastAsia="方正仿宋_GBK" w:cs="方正仿宋_GBK"/>
          <w:bCs/>
          <w:color w:val="auto"/>
          <w:sz w:val="28"/>
          <w:szCs w:val="28"/>
        </w:rPr>
        <w:t>2021年3月19日</w:t>
      </w:r>
    </w:p>
    <w:p>
      <w:pPr>
        <w:pStyle w:val="14"/>
        <w:adjustRightInd w:val="0"/>
        <w:snapToGrid w:val="0"/>
        <w:ind w:right="250" w:firstLine="600" w:firstLineChars="250"/>
        <w:rPr>
          <w:rFonts w:hint="eastAsia" w:ascii="方正仿宋_GBK" w:hAnsi="方正仿宋_GBK" w:eastAsia="方正仿宋_GBK" w:cs="方正仿宋_GBK"/>
          <w:bCs/>
          <w:color w:val="C00000"/>
          <w:szCs w:val="24"/>
        </w:rPr>
      </w:pPr>
    </w:p>
    <w:p>
      <w:pPr>
        <w:pStyle w:val="14"/>
        <w:adjustRightInd w:val="0"/>
        <w:snapToGrid w:val="0"/>
        <w:ind w:right="250" w:firstLine="600" w:firstLineChars="250"/>
        <w:rPr>
          <w:rFonts w:hint="eastAsia" w:ascii="方正仿宋_GBK" w:hAnsi="方正仿宋_GBK" w:eastAsia="方正仿宋_GBK" w:cs="方正仿宋_GBK"/>
          <w:bCs/>
          <w:color w:val="C00000"/>
          <w:szCs w:val="24"/>
        </w:rPr>
      </w:pPr>
    </w:p>
    <w:p>
      <w:pPr>
        <w:pStyle w:val="14"/>
        <w:adjustRightInd w:val="0"/>
        <w:snapToGrid w:val="0"/>
        <w:ind w:right="250" w:firstLine="600" w:firstLineChars="250"/>
        <w:rPr>
          <w:rFonts w:hint="eastAsia" w:ascii="方正仿宋_GBK" w:hAnsi="方正仿宋_GBK" w:eastAsia="方正仿宋_GBK" w:cs="方正仿宋_GBK"/>
          <w:bCs/>
          <w:color w:val="C00000"/>
          <w:szCs w:val="24"/>
        </w:rPr>
      </w:pPr>
    </w:p>
    <w:p>
      <w:pPr>
        <w:pStyle w:val="14"/>
        <w:adjustRightInd w:val="0"/>
        <w:snapToGrid w:val="0"/>
        <w:ind w:right="250" w:firstLine="600" w:firstLineChars="250"/>
        <w:rPr>
          <w:rFonts w:hint="eastAsia" w:ascii="方正仿宋_GBK" w:hAnsi="方正仿宋_GBK" w:eastAsia="方正仿宋_GBK" w:cs="方正仿宋_GBK"/>
          <w:bCs/>
          <w:color w:val="C00000"/>
          <w:szCs w:val="24"/>
        </w:rPr>
      </w:pPr>
    </w:p>
    <w:p>
      <w:pPr>
        <w:pStyle w:val="14"/>
        <w:adjustRightInd w:val="0"/>
        <w:snapToGrid w:val="0"/>
        <w:ind w:right="250" w:firstLine="600" w:firstLineChars="250"/>
        <w:rPr>
          <w:rFonts w:hint="eastAsia" w:ascii="方正仿宋_GBK" w:hAnsi="方正仿宋_GBK" w:eastAsia="方正仿宋_GBK" w:cs="方正仿宋_GBK"/>
          <w:bCs/>
          <w:color w:val="C00000"/>
          <w:szCs w:val="24"/>
        </w:rPr>
      </w:pPr>
      <w:bookmarkStart w:id="13" w:name="_GoBack"/>
      <w:bookmarkEnd w:id="13"/>
    </w:p>
    <w:p>
      <w:pPr>
        <w:pStyle w:val="14"/>
        <w:adjustRightInd w:val="0"/>
        <w:snapToGrid w:val="0"/>
        <w:ind w:right="250" w:firstLine="600" w:firstLineChars="250"/>
        <w:rPr>
          <w:rFonts w:hint="eastAsia" w:ascii="方正仿宋_GBK" w:hAnsi="方正仿宋_GBK" w:eastAsia="方正仿宋_GBK" w:cs="方正仿宋_GBK"/>
          <w:bCs/>
          <w:color w:val="C00000"/>
          <w:szCs w:val="24"/>
        </w:rPr>
      </w:pPr>
    </w:p>
    <w:p>
      <w:pPr>
        <w:pStyle w:val="14"/>
        <w:adjustRightInd w:val="0"/>
        <w:snapToGrid w:val="0"/>
        <w:ind w:right="250" w:firstLine="600" w:firstLineChars="250"/>
        <w:rPr>
          <w:rFonts w:hint="eastAsia" w:ascii="方正仿宋_GBK" w:hAnsi="方正仿宋_GBK" w:eastAsia="方正仿宋_GBK" w:cs="方正仿宋_GBK"/>
          <w:bCs/>
          <w:color w:val="C00000"/>
          <w:szCs w:val="24"/>
        </w:rPr>
      </w:pPr>
    </w:p>
    <w:p>
      <w:pPr>
        <w:pStyle w:val="14"/>
        <w:adjustRightInd w:val="0"/>
        <w:snapToGrid w:val="0"/>
        <w:ind w:right="250" w:firstLine="0" w:firstLineChars="0"/>
        <w:rPr>
          <w:rFonts w:hint="eastAsia" w:ascii="方正仿宋_GBK" w:hAnsi="方正仿宋_GBK" w:eastAsia="方正仿宋_GBK" w:cs="方正仿宋_GBK"/>
          <w:bCs/>
          <w:color w:val="C00000"/>
          <w:szCs w:val="24"/>
        </w:rPr>
      </w:pPr>
    </w:p>
    <w:p>
      <w:pPr>
        <w:adjustRightInd w:val="0"/>
        <w:snapToGrid w:val="0"/>
        <w:spacing w:line="360" w:lineRule="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24"/>
          <w:szCs w:val="24"/>
        </w:rPr>
        <w:t xml:space="preserve">附件1：   </w:t>
      </w:r>
    </w:p>
    <w:p>
      <w:pPr>
        <w:adjustRightInd w:val="0"/>
        <w:snapToGrid w:val="0"/>
        <w:spacing w:line="360" w:lineRule="auto"/>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参 竞 函</w:t>
      </w:r>
    </w:p>
    <w:p>
      <w:pPr>
        <w:adjustRightInd w:val="0"/>
        <w:snapToGrid w:val="0"/>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四川外国语大学：</w:t>
      </w:r>
    </w:p>
    <w:p>
      <w:pPr>
        <w:adjustRightInd w:val="0"/>
        <w:snapToGrid w:val="0"/>
        <w:spacing w:line="360" w:lineRule="auto"/>
        <w:rPr>
          <w:rFonts w:hint="eastAsia"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我（单位）对学校学生校内交通运输服务项目文件进行了认真阅读，自愿参竞本项目，授权下述签字人</w:t>
      </w:r>
      <w:r>
        <w:rPr>
          <w:rFonts w:hint="eastAsia" w:ascii="方正仿宋_GBK" w:hAnsi="方正仿宋_GBK" w:eastAsia="方正仿宋_GBK" w:cs="方正仿宋_GBK"/>
          <w:kern w:val="0"/>
          <w:sz w:val="24"/>
          <w:szCs w:val="24"/>
          <w:u w:val="single"/>
        </w:rPr>
        <w:t xml:space="preserve">          </w:t>
      </w:r>
      <w:r>
        <w:rPr>
          <w:rFonts w:hint="eastAsia" w:ascii="方正仿宋_GBK" w:hAnsi="方正仿宋_GBK" w:eastAsia="方正仿宋_GBK" w:cs="方正仿宋_GBK"/>
          <w:kern w:val="0"/>
          <w:sz w:val="24"/>
          <w:szCs w:val="24"/>
        </w:rPr>
        <w:t>全权代表我单位参竞。</w:t>
      </w:r>
    </w:p>
    <w:p>
      <w:pPr>
        <w:adjustRightInd w:val="0"/>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我（单位）愿意遵守下列条款并慎重声明：</w:t>
      </w:r>
    </w:p>
    <w:p>
      <w:pPr>
        <w:adjustRightInd w:val="0"/>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1.接受项目文件中的各项规定和要求，愿意按学校要求的时间和要求参竞；</w:t>
      </w:r>
    </w:p>
    <w:p>
      <w:pPr>
        <w:adjustRightInd w:val="0"/>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2.本参竞函是在我方完全接受学校项目文件所有条款及所有解析后提交的，无论成交与否，我方对学校的评审结果均予以接受；</w:t>
      </w:r>
    </w:p>
    <w:p>
      <w:pPr>
        <w:adjustRightInd w:val="0"/>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3.如果成交，我方保证在收到学校的成交通知书后，按照规定的时间期限签订合同；</w:t>
      </w:r>
    </w:p>
    <w:p>
      <w:pPr>
        <w:adjustRightInd w:val="0"/>
        <w:snapToGrid w:val="0"/>
        <w:spacing w:line="360" w:lineRule="auto"/>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4.如果成交，我方郑重承诺：严格遵守国家的法律法规和学校的有关管理规定，做到合法、文明运营；</w:t>
      </w:r>
    </w:p>
    <w:p>
      <w:pPr>
        <w:adjustRightInd w:val="0"/>
        <w:snapToGrid w:val="0"/>
        <w:spacing w:line="360" w:lineRule="auto"/>
        <w:ind w:firstLine="480" w:firstLineChars="200"/>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5.除非另外达成协议并生效，学校的项目文件、成交通知书和本参竞函将构成约束我们双方的合同；</w:t>
      </w:r>
    </w:p>
    <w:p>
      <w:pPr>
        <w:adjustRightInd w:val="0"/>
        <w:snapToGrid w:val="0"/>
        <w:spacing w:line="360" w:lineRule="auto"/>
        <w:ind w:firstLine="480" w:firstLineChars="200"/>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6.我方完全理解学校在项目文件中表达的真实意思，我方已现场踏勘，对拟校内交通运输项目及周边情况已完全了解，无任何疑虑。</w:t>
      </w:r>
    </w:p>
    <w:p>
      <w:pPr>
        <w:adjustRightInd w:val="0"/>
        <w:snapToGrid w:val="0"/>
        <w:spacing w:line="360" w:lineRule="auto"/>
        <w:ind w:firstLine="480" w:firstLineChars="200"/>
        <w:jc w:val="left"/>
        <w:rPr>
          <w:rFonts w:hint="eastAsia" w:ascii="方正仿宋_GBK" w:hAnsi="方正仿宋_GBK" w:eastAsia="方正仿宋_GBK" w:cs="方正仿宋_GBK"/>
          <w:kern w:val="0"/>
          <w:sz w:val="24"/>
          <w:szCs w:val="24"/>
        </w:rPr>
      </w:pPr>
    </w:p>
    <w:p>
      <w:pPr>
        <w:adjustRightInd w:val="0"/>
        <w:snapToGrid w:val="0"/>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                            参竞单位：               （签字或盖章）</w:t>
      </w:r>
    </w:p>
    <w:p>
      <w:pPr>
        <w:adjustRightInd w:val="0"/>
        <w:snapToGrid w:val="0"/>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                          法定代表人：               （签章）</w:t>
      </w:r>
    </w:p>
    <w:p>
      <w:pPr>
        <w:adjustRightInd w:val="0"/>
        <w:snapToGrid w:val="0"/>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                        法人授权代表：               （签字）</w:t>
      </w:r>
    </w:p>
    <w:p>
      <w:pPr>
        <w:adjustRightInd w:val="0"/>
        <w:snapToGrid w:val="0"/>
        <w:spacing w:line="360" w:lineRule="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                            联系电话：</w:t>
      </w:r>
    </w:p>
    <w:p>
      <w:pPr>
        <w:adjustRightInd w:val="0"/>
        <w:snapToGrid w:val="0"/>
        <w:spacing w:line="360" w:lineRule="auto"/>
        <w:ind w:firstLine="4800" w:firstLineChars="20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    </w:t>
      </w:r>
    </w:p>
    <w:p>
      <w:pPr>
        <w:adjustRightInd w:val="0"/>
        <w:snapToGrid w:val="0"/>
        <w:spacing w:line="360" w:lineRule="auto"/>
        <w:ind w:firstLine="4800" w:firstLineChars="2000"/>
        <w:rPr>
          <w:rFonts w:hint="eastAsia" w:ascii="方正仿宋_GBK" w:hAnsi="方正仿宋_GBK" w:eastAsia="方正仿宋_GBK" w:cs="方正仿宋_GBK"/>
          <w:kern w:val="0"/>
          <w:sz w:val="24"/>
          <w:szCs w:val="24"/>
        </w:rPr>
        <w:sectPr>
          <w:pgSz w:w="11905" w:h="16838"/>
          <w:pgMar w:top="1134" w:right="1134" w:bottom="1134" w:left="1134" w:header="794" w:footer="709" w:gutter="0"/>
          <w:cols w:space="720" w:num="1"/>
          <w:docGrid w:linePitch="385" w:charSpace="0"/>
        </w:sectPr>
      </w:pPr>
      <w:r>
        <w:rPr>
          <w:rFonts w:hint="eastAsia" w:ascii="方正仿宋_GBK" w:hAnsi="方正仿宋_GBK" w:eastAsia="方正仿宋_GBK" w:cs="方正仿宋_GBK"/>
          <w:kern w:val="0"/>
          <w:sz w:val="24"/>
          <w:szCs w:val="24"/>
        </w:rPr>
        <w:t xml:space="preserve">     年      月       日</w:t>
      </w:r>
    </w:p>
    <w:p>
      <w:pPr>
        <w:adjustRightInd w:val="0"/>
        <w:snapToGrid w:val="0"/>
        <w:spacing w:line="360" w:lineRule="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val="0"/>
          <w:bCs/>
          <w:sz w:val="24"/>
          <w:szCs w:val="24"/>
        </w:rPr>
        <w:t xml:space="preserve">附件2：  </w:t>
      </w:r>
      <w:r>
        <w:rPr>
          <w:rFonts w:hint="eastAsia" w:ascii="方正仿宋_GBK" w:hAnsi="方正仿宋_GBK" w:eastAsia="方正仿宋_GBK" w:cs="方正仿宋_GBK"/>
          <w:b/>
          <w:sz w:val="24"/>
          <w:szCs w:val="24"/>
        </w:rPr>
        <w:t xml:space="preserve"> </w:t>
      </w:r>
    </w:p>
    <w:p>
      <w:pPr>
        <w:pStyle w:val="2"/>
        <w:adjustRightInd w:val="0"/>
        <w:snapToGrid w:val="0"/>
        <w:spacing w:before="160" w:after="160" w:line="360" w:lineRule="auto"/>
        <w:ind w:firstLine="305" w:firstLineChars="95"/>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无重大违法记录声明</w:t>
      </w:r>
    </w:p>
    <w:p>
      <w:pPr>
        <w:rPr>
          <w:rFonts w:hint="eastAsia"/>
        </w:rPr>
      </w:pPr>
    </w:p>
    <w:p>
      <w:pPr>
        <w:widowControl/>
        <w:autoSpaceDE w:val="0"/>
        <w:autoSpaceDN w:val="0"/>
        <w:adjustRightInd w:val="0"/>
        <w:snapToGrid w:val="0"/>
        <w:spacing w:line="360" w:lineRule="auto"/>
        <w:ind w:left="315" w:leftChars="150" w:right="376" w:rightChars="179" w:firstLine="228" w:firstLineChars="95"/>
        <w:textAlignment w:val="bottom"/>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致四川外国语大学：</w:t>
      </w:r>
    </w:p>
    <w:p>
      <w:pPr>
        <w:widowControl/>
        <w:autoSpaceDE w:val="0"/>
        <w:autoSpaceDN w:val="0"/>
        <w:adjustRightInd w:val="0"/>
        <w:snapToGrid w:val="0"/>
        <w:spacing w:line="360" w:lineRule="auto"/>
        <w:ind w:left="315" w:leftChars="150" w:right="376" w:rightChars="179" w:firstLine="228" w:firstLineChars="95"/>
        <w:textAlignment w:val="bottom"/>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（参竞人 ）郑重声明，我方参竞校内交通运输服务项目</w:t>
      </w:r>
    </w:p>
    <w:p>
      <w:pPr>
        <w:widowControl/>
        <w:autoSpaceDE w:val="0"/>
        <w:autoSpaceDN w:val="0"/>
        <w:adjustRightInd w:val="0"/>
        <w:snapToGrid w:val="0"/>
        <w:spacing w:line="360" w:lineRule="auto"/>
        <w:ind w:right="376" w:rightChars="179"/>
        <w:textAlignment w:val="bottom"/>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前三年内无重大违法活动记录。</w:t>
      </w:r>
    </w:p>
    <w:p>
      <w:pPr>
        <w:widowControl/>
        <w:autoSpaceDE w:val="0"/>
        <w:autoSpaceDN w:val="0"/>
        <w:adjustRightInd w:val="0"/>
        <w:snapToGrid w:val="0"/>
        <w:spacing w:line="360" w:lineRule="auto"/>
        <w:ind w:left="315" w:leftChars="150" w:right="376" w:rightChars="179" w:firstLine="228" w:firstLineChars="95"/>
        <w:textAlignment w:val="bottom"/>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我方对此声明负全部法律责任。</w:t>
      </w:r>
    </w:p>
    <w:p>
      <w:pPr>
        <w:widowControl/>
        <w:autoSpaceDE w:val="0"/>
        <w:autoSpaceDN w:val="0"/>
        <w:adjustRightInd w:val="0"/>
        <w:snapToGrid w:val="0"/>
        <w:spacing w:line="360" w:lineRule="auto"/>
        <w:ind w:left="315" w:leftChars="150" w:right="376" w:rightChars="179" w:firstLine="228" w:firstLineChars="95"/>
        <w:textAlignment w:val="bottom"/>
        <w:rPr>
          <w:rFonts w:hint="eastAsia" w:ascii="方正仿宋_GBK" w:hAnsi="方正仿宋_GBK" w:eastAsia="方正仿宋_GBK" w:cs="方正仿宋_GBK"/>
          <w:sz w:val="24"/>
          <w:szCs w:val="24"/>
        </w:rPr>
      </w:pPr>
    </w:p>
    <w:p>
      <w:pPr>
        <w:widowControl/>
        <w:autoSpaceDE w:val="0"/>
        <w:autoSpaceDN w:val="0"/>
        <w:adjustRightInd w:val="0"/>
        <w:snapToGrid w:val="0"/>
        <w:spacing w:line="360" w:lineRule="auto"/>
        <w:ind w:left="315" w:leftChars="150" w:right="376" w:rightChars="179" w:firstLine="228" w:firstLineChars="95"/>
        <w:textAlignment w:val="bottom"/>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pPr>
        <w:widowControl/>
        <w:autoSpaceDE w:val="0"/>
        <w:autoSpaceDN w:val="0"/>
        <w:adjustRightInd w:val="0"/>
        <w:snapToGrid w:val="0"/>
        <w:spacing w:line="360" w:lineRule="auto"/>
        <w:ind w:left="315" w:leftChars="150" w:right="376" w:rightChars="179" w:firstLine="228" w:firstLineChars="95"/>
        <w:textAlignment w:val="bottom"/>
        <w:rPr>
          <w:rFonts w:hint="eastAsia" w:ascii="方正仿宋_GBK" w:hAnsi="方正仿宋_GBK" w:eastAsia="方正仿宋_GBK" w:cs="方正仿宋_GBK"/>
          <w:sz w:val="24"/>
          <w:szCs w:val="24"/>
        </w:rPr>
      </w:pPr>
    </w:p>
    <w:p>
      <w:pPr>
        <w:widowControl/>
        <w:adjustRightInd w:val="0"/>
        <w:snapToGrid w:val="0"/>
        <w:spacing w:line="360" w:lineRule="auto"/>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 xml:space="preserve">参竞人盖章或签字：     </w:t>
      </w:r>
      <w:r>
        <w:rPr>
          <w:rFonts w:hint="eastAsia" w:ascii="方正仿宋_GBK" w:hAnsi="方正仿宋_GBK" w:eastAsia="方正仿宋_GBK" w:cs="方正仿宋_GBK"/>
          <w:sz w:val="24"/>
          <w:szCs w:val="24"/>
          <w:u w:val="single"/>
        </w:rPr>
        <w:t xml:space="preserve">                           </w:t>
      </w:r>
    </w:p>
    <w:p>
      <w:pPr>
        <w:widowControl/>
        <w:adjustRightInd w:val="0"/>
        <w:snapToGrid w:val="0"/>
        <w:spacing w:line="360" w:lineRule="auto"/>
        <w:rPr>
          <w:rFonts w:hint="eastAsia" w:ascii="方正仿宋_GBK" w:hAnsi="方正仿宋_GBK" w:eastAsia="方正仿宋_GBK" w:cs="方正仿宋_GBK"/>
          <w:sz w:val="24"/>
          <w:szCs w:val="24"/>
          <w:u w:val="single"/>
        </w:rPr>
      </w:pPr>
    </w:p>
    <w:p>
      <w:pPr>
        <w:adjustRightInd w:val="0"/>
        <w:snapToGrid w:val="0"/>
        <w:spacing w:line="360" w:lineRule="auto"/>
        <w:rPr>
          <w:rFonts w:hint="eastAsia"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 xml:space="preserve"> 法人授权代表（签字）：  </w:t>
      </w:r>
      <w:r>
        <w:rPr>
          <w:rFonts w:hint="eastAsia" w:ascii="方正仿宋_GBK" w:hAnsi="方正仿宋_GBK" w:eastAsia="方正仿宋_GBK" w:cs="方正仿宋_GBK"/>
          <w:kern w:val="0"/>
          <w:sz w:val="24"/>
          <w:szCs w:val="24"/>
          <w:u w:val="single"/>
        </w:rPr>
        <w:t xml:space="preserve">                         </w:t>
      </w:r>
    </w:p>
    <w:p>
      <w:pPr>
        <w:adjustRightInd w:val="0"/>
        <w:snapToGrid w:val="0"/>
        <w:spacing w:line="360" w:lineRule="auto"/>
        <w:rPr>
          <w:rFonts w:hint="eastAsia" w:ascii="方正仿宋_GBK" w:hAnsi="方正仿宋_GBK" w:eastAsia="方正仿宋_GBK" w:cs="方正仿宋_GBK"/>
          <w:kern w:val="0"/>
          <w:sz w:val="24"/>
          <w:szCs w:val="24"/>
          <w:u w:val="single"/>
        </w:rPr>
      </w:pPr>
    </w:p>
    <w:p>
      <w:pPr>
        <w:adjustRightInd w:val="0"/>
        <w:snapToGrid w:val="0"/>
        <w:spacing w:line="360" w:lineRule="auto"/>
        <w:rPr>
          <w:rFonts w:hint="eastAsia" w:ascii="方正仿宋_GBK" w:hAnsi="方正仿宋_GBK" w:eastAsia="方正仿宋_GBK" w:cs="方正仿宋_GBK"/>
          <w:kern w:val="0"/>
          <w:sz w:val="24"/>
          <w:szCs w:val="24"/>
          <w:u w:val="single"/>
        </w:rPr>
      </w:pPr>
      <w:r>
        <w:rPr>
          <w:rFonts w:hint="eastAsia" w:ascii="方正仿宋_GBK" w:hAnsi="方正仿宋_GBK" w:eastAsia="方正仿宋_GBK" w:cs="方正仿宋_GBK"/>
          <w:kern w:val="0"/>
          <w:sz w:val="24"/>
          <w:szCs w:val="24"/>
        </w:rPr>
        <w:t xml:space="preserve"> 联   系     电   话：  </w:t>
      </w:r>
      <w:r>
        <w:rPr>
          <w:rFonts w:hint="eastAsia" w:ascii="方正仿宋_GBK" w:hAnsi="方正仿宋_GBK" w:eastAsia="方正仿宋_GBK" w:cs="方正仿宋_GBK"/>
          <w:kern w:val="0"/>
          <w:sz w:val="24"/>
          <w:szCs w:val="24"/>
          <w:u w:val="single"/>
        </w:rPr>
        <w:t xml:space="preserve">                         </w:t>
      </w:r>
    </w:p>
    <w:p>
      <w:pPr>
        <w:adjustRightInd w:val="0"/>
        <w:snapToGrid w:val="0"/>
        <w:spacing w:line="360" w:lineRule="auto"/>
        <w:rPr>
          <w:rFonts w:hint="eastAsia" w:ascii="方正仿宋_GBK" w:hAnsi="方正仿宋_GBK" w:eastAsia="方正仿宋_GBK" w:cs="方正仿宋_GBK"/>
          <w:kern w:val="0"/>
          <w:sz w:val="24"/>
          <w:szCs w:val="24"/>
          <w:u w:val="single"/>
        </w:rPr>
      </w:pPr>
    </w:p>
    <w:p>
      <w:pPr>
        <w:adjustRightInd w:val="0"/>
        <w:snapToGrid w:val="0"/>
        <w:spacing w:line="360" w:lineRule="auto"/>
        <w:rPr>
          <w:rFonts w:hint="eastAsia" w:ascii="方正仿宋_GBK" w:hAnsi="方正仿宋_GBK" w:eastAsia="方正仿宋_GBK" w:cs="方正仿宋_GBK"/>
          <w:kern w:val="0"/>
          <w:sz w:val="24"/>
          <w:szCs w:val="24"/>
          <w:u w:val="single"/>
        </w:rPr>
      </w:pPr>
    </w:p>
    <w:p>
      <w:pPr>
        <w:adjustRightInd w:val="0"/>
        <w:snapToGrid w:val="0"/>
        <w:spacing w:line="360" w:lineRule="auto"/>
        <w:ind w:firstLine="5280" w:firstLineChars="2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年      月      日</w:t>
      </w:r>
    </w:p>
    <w:p>
      <w:pPr>
        <w:adjustRightInd w:val="0"/>
        <w:snapToGrid w:val="0"/>
        <w:spacing w:line="360" w:lineRule="auto"/>
        <w:ind w:firstLine="5280" w:firstLineChars="2200"/>
        <w:rPr>
          <w:rFonts w:hint="eastAsia" w:ascii="方正仿宋_GBK" w:hAnsi="方正仿宋_GBK" w:eastAsia="方正仿宋_GBK" w:cs="方正仿宋_GBK"/>
          <w:kern w:val="0"/>
          <w:sz w:val="24"/>
          <w:szCs w:val="24"/>
        </w:rPr>
      </w:pPr>
    </w:p>
    <w:p>
      <w:pPr>
        <w:adjustRightInd w:val="0"/>
        <w:snapToGrid w:val="0"/>
        <w:spacing w:line="360" w:lineRule="auto"/>
        <w:ind w:firstLine="5280" w:firstLineChars="2200"/>
        <w:rPr>
          <w:rFonts w:hint="eastAsia" w:ascii="方正仿宋_GBK" w:hAnsi="方正仿宋_GBK" w:eastAsia="方正仿宋_GBK" w:cs="方正仿宋_GBK"/>
          <w:kern w:val="0"/>
          <w:sz w:val="24"/>
          <w:szCs w:val="24"/>
        </w:rPr>
      </w:pPr>
    </w:p>
    <w:p>
      <w:pPr>
        <w:adjustRightInd w:val="0"/>
        <w:snapToGrid w:val="0"/>
        <w:spacing w:line="360" w:lineRule="auto"/>
        <w:ind w:firstLine="5280" w:firstLineChars="2200"/>
        <w:rPr>
          <w:rFonts w:hint="eastAsia" w:ascii="方正仿宋_GBK" w:hAnsi="方正仿宋_GBK" w:eastAsia="方正仿宋_GBK" w:cs="方正仿宋_GBK"/>
          <w:kern w:val="0"/>
          <w:sz w:val="24"/>
          <w:szCs w:val="24"/>
        </w:rPr>
      </w:pPr>
    </w:p>
    <w:p>
      <w:pPr>
        <w:adjustRightInd w:val="0"/>
        <w:snapToGrid w:val="0"/>
        <w:spacing w:line="360" w:lineRule="auto"/>
        <w:ind w:firstLine="5280" w:firstLineChars="2200"/>
        <w:rPr>
          <w:rFonts w:hint="eastAsia" w:ascii="方正仿宋_GBK" w:hAnsi="方正仿宋_GBK" w:eastAsia="方正仿宋_GBK" w:cs="方正仿宋_GBK"/>
          <w:kern w:val="0"/>
          <w:sz w:val="24"/>
          <w:szCs w:val="24"/>
        </w:rPr>
      </w:pPr>
    </w:p>
    <w:p>
      <w:pPr>
        <w:adjustRightInd w:val="0"/>
        <w:snapToGrid w:val="0"/>
        <w:spacing w:line="360" w:lineRule="auto"/>
        <w:ind w:firstLine="5280" w:firstLineChars="2200"/>
        <w:rPr>
          <w:rFonts w:hint="eastAsia" w:ascii="方正仿宋_GBK" w:hAnsi="方正仿宋_GBK" w:eastAsia="方正仿宋_GBK" w:cs="方正仿宋_GBK"/>
          <w:kern w:val="0"/>
          <w:sz w:val="24"/>
          <w:szCs w:val="24"/>
        </w:rPr>
      </w:pPr>
    </w:p>
    <w:p>
      <w:pPr>
        <w:adjustRightInd w:val="0"/>
        <w:snapToGrid w:val="0"/>
        <w:spacing w:line="360" w:lineRule="auto"/>
        <w:ind w:firstLine="5280" w:firstLineChars="2200"/>
        <w:rPr>
          <w:rFonts w:hint="eastAsia" w:ascii="方正仿宋_GBK" w:hAnsi="方正仿宋_GBK" w:eastAsia="方正仿宋_GBK" w:cs="方正仿宋_GBK"/>
          <w:kern w:val="0"/>
          <w:sz w:val="24"/>
          <w:szCs w:val="24"/>
        </w:rPr>
      </w:pPr>
    </w:p>
    <w:p>
      <w:pPr>
        <w:adjustRightInd w:val="0"/>
        <w:snapToGrid w:val="0"/>
        <w:spacing w:line="360" w:lineRule="auto"/>
        <w:ind w:firstLine="5280" w:firstLineChars="2200"/>
        <w:rPr>
          <w:rFonts w:hint="eastAsia" w:ascii="方正仿宋_GBK" w:hAnsi="方正仿宋_GBK" w:eastAsia="方正仿宋_GBK" w:cs="方正仿宋_GBK"/>
          <w:kern w:val="0"/>
          <w:sz w:val="24"/>
          <w:szCs w:val="24"/>
        </w:rPr>
      </w:pPr>
    </w:p>
    <w:p>
      <w:pPr>
        <w:adjustRightInd w:val="0"/>
        <w:snapToGrid w:val="0"/>
        <w:spacing w:line="360" w:lineRule="auto"/>
        <w:ind w:firstLine="5280" w:firstLineChars="2200"/>
        <w:rPr>
          <w:rFonts w:hint="eastAsia" w:ascii="方正仿宋_GBK" w:hAnsi="方正仿宋_GBK" w:eastAsia="方正仿宋_GBK" w:cs="方正仿宋_GBK"/>
          <w:kern w:val="0"/>
          <w:sz w:val="24"/>
          <w:szCs w:val="24"/>
        </w:rPr>
      </w:pPr>
    </w:p>
    <w:p>
      <w:pPr>
        <w:adjustRightInd w:val="0"/>
        <w:snapToGrid w:val="0"/>
        <w:spacing w:line="360" w:lineRule="auto"/>
        <w:ind w:firstLine="5280" w:firstLineChars="2200"/>
        <w:rPr>
          <w:rFonts w:hint="eastAsia" w:ascii="方正仿宋_GBK" w:hAnsi="方正仿宋_GBK" w:eastAsia="方正仿宋_GBK" w:cs="方正仿宋_GBK"/>
          <w:kern w:val="0"/>
          <w:sz w:val="24"/>
          <w:szCs w:val="24"/>
        </w:rPr>
      </w:pPr>
    </w:p>
    <w:p>
      <w:pPr>
        <w:adjustRightInd w:val="0"/>
        <w:snapToGrid w:val="0"/>
        <w:spacing w:line="360" w:lineRule="auto"/>
        <w:rPr>
          <w:rFonts w:hint="eastAsia" w:ascii="宋体" w:hAnsi="宋体"/>
          <w:b/>
          <w:color w:val="auto"/>
          <w:sz w:val="24"/>
          <w:szCs w:val="24"/>
          <w:lang w:val="en-US" w:eastAsia="zh-CN"/>
        </w:rPr>
      </w:pPr>
      <w:r>
        <w:rPr>
          <w:rFonts w:hint="eastAsia" w:ascii="宋体" w:hAnsi="宋体"/>
          <w:b w:val="0"/>
          <w:bCs/>
          <w:color w:val="auto"/>
          <w:sz w:val="24"/>
          <w:szCs w:val="24"/>
          <w:lang w:val="en-US" w:eastAsia="zh-CN"/>
        </w:rPr>
        <w:t>附件3：</w:t>
      </w:r>
      <w:r>
        <w:rPr>
          <w:rFonts w:hint="eastAsia" w:ascii="宋体" w:hAnsi="宋体"/>
          <w:b/>
          <w:color w:val="auto"/>
          <w:sz w:val="24"/>
          <w:szCs w:val="24"/>
          <w:lang w:val="en-US" w:eastAsia="zh-CN"/>
        </w:rPr>
        <w:t xml:space="preserve">                  </w:t>
      </w:r>
    </w:p>
    <w:p>
      <w:pPr>
        <w:adjustRightInd w:val="0"/>
        <w:snapToGrid w:val="0"/>
        <w:spacing w:line="360" w:lineRule="auto"/>
        <w:rPr>
          <w:rFonts w:hint="eastAsia" w:ascii="宋体" w:hAnsi="宋体"/>
          <w:b/>
          <w:color w:val="auto"/>
          <w:sz w:val="24"/>
          <w:szCs w:val="24"/>
          <w:lang w:val="en-US" w:eastAsia="zh-CN"/>
        </w:rPr>
      </w:pPr>
    </w:p>
    <w:p>
      <w:pPr>
        <w:adjustRightInd w:val="0"/>
        <w:snapToGrid w:val="0"/>
        <w:spacing w:line="360" w:lineRule="auto"/>
        <w:ind w:firstLine="2650" w:firstLineChars="1100"/>
        <w:rPr>
          <w:rFonts w:hint="eastAsia" w:ascii="宋体" w:hAnsi="宋体"/>
          <w:b/>
          <w:color w:val="auto"/>
          <w:sz w:val="32"/>
          <w:szCs w:val="32"/>
        </w:rPr>
      </w:pPr>
      <w:r>
        <w:rPr>
          <w:rFonts w:hint="eastAsia" w:ascii="宋体" w:hAnsi="宋体"/>
          <w:b/>
          <w:color w:val="auto"/>
          <w:sz w:val="24"/>
          <w:szCs w:val="24"/>
        </w:rPr>
        <w:t xml:space="preserve"> </w:t>
      </w:r>
      <w:r>
        <w:rPr>
          <w:rFonts w:hint="eastAsia" w:ascii="宋体" w:hAnsi="宋体"/>
          <w:b/>
          <w:color w:val="auto"/>
          <w:sz w:val="32"/>
          <w:szCs w:val="32"/>
        </w:rPr>
        <w:t>授权委托书（</w:t>
      </w:r>
      <w:r>
        <w:rPr>
          <w:rFonts w:hint="eastAsia" w:ascii="宋体" w:hAnsi="宋体"/>
          <w:b/>
          <w:color w:val="auto"/>
          <w:sz w:val="32"/>
          <w:szCs w:val="32"/>
          <w:lang w:val="en-US" w:eastAsia="zh-CN"/>
        </w:rPr>
        <w:t>模板</w:t>
      </w:r>
      <w:r>
        <w:rPr>
          <w:rFonts w:hint="eastAsia" w:ascii="宋体" w:hAnsi="宋体"/>
          <w:b/>
          <w:color w:val="auto"/>
          <w:sz w:val="32"/>
          <w:szCs w:val="32"/>
        </w:rPr>
        <w:t>）</w:t>
      </w:r>
    </w:p>
    <w:p>
      <w:pPr>
        <w:adjustRightInd w:val="0"/>
        <w:snapToGrid w:val="0"/>
        <w:spacing w:line="360" w:lineRule="auto"/>
        <w:ind w:firstLine="480" w:firstLineChars="200"/>
        <w:rPr>
          <w:rFonts w:hint="eastAsia" w:ascii="宋体" w:hAnsi="宋体"/>
          <w:color w:val="auto"/>
          <w:sz w:val="24"/>
          <w:szCs w:val="24"/>
        </w:rPr>
      </w:pP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 _________（</w:t>
      </w:r>
      <w:r>
        <w:rPr>
          <w:rFonts w:hint="eastAsia" w:ascii="宋体" w:hAnsi="宋体"/>
          <w:color w:val="auto"/>
          <w:sz w:val="24"/>
          <w:szCs w:val="24"/>
          <w:lang w:val="en-US" w:eastAsia="zh-CN"/>
        </w:rPr>
        <w:t>参竞</w:t>
      </w:r>
      <w:r>
        <w:rPr>
          <w:rFonts w:hint="eastAsia" w:ascii="宋体" w:hAnsi="宋体"/>
          <w:color w:val="auto"/>
          <w:sz w:val="24"/>
          <w:szCs w:val="24"/>
        </w:rPr>
        <w:t>人）特授权________________________（被授权人姓名及身份证号码）代表我全权办理对</w:t>
      </w:r>
      <w:r>
        <w:rPr>
          <w:rFonts w:hint="eastAsia" w:ascii="宋体" w:hAnsi="宋体"/>
          <w:color w:val="auto"/>
          <w:sz w:val="24"/>
          <w:szCs w:val="24"/>
          <w:lang w:eastAsia="zh-CN"/>
        </w:rPr>
        <w:t>“</w:t>
      </w:r>
      <w:r>
        <w:rPr>
          <w:rFonts w:hint="eastAsia" w:ascii="宋体" w:hAnsi="宋体"/>
          <w:color w:val="auto"/>
          <w:sz w:val="24"/>
          <w:szCs w:val="24"/>
          <w:lang w:val="en-US" w:eastAsia="zh-CN"/>
        </w:rPr>
        <w:t>校内交通运输服务项目</w:t>
      </w:r>
      <w:r>
        <w:rPr>
          <w:rFonts w:hint="eastAsia" w:ascii="宋体" w:hAnsi="宋体"/>
          <w:color w:val="auto"/>
          <w:sz w:val="24"/>
          <w:szCs w:val="24"/>
          <w:lang w:eastAsia="zh-CN"/>
        </w:rPr>
        <w:t>”</w:t>
      </w:r>
      <w:r>
        <w:rPr>
          <w:rFonts w:hint="eastAsia" w:ascii="宋体" w:hAnsi="宋体"/>
          <w:color w:val="auto"/>
          <w:sz w:val="24"/>
          <w:szCs w:val="24"/>
          <w:lang w:val="en-US" w:eastAsia="zh-CN"/>
        </w:rPr>
        <w:t>参竞</w:t>
      </w:r>
      <w:r>
        <w:rPr>
          <w:rFonts w:hint="eastAsia" w:ascii="宋体" w:hAnsi="宋体"/>
          <w:color w:val="auto"/>
          <w:sz w:val="24"/>
          <w:szCs w:val="24"/>
        </w:rPr>
        <w:t>、签约等具体工作，并签署全部有关的文件、协议及合同。</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我对被授权人的签名负全部责任。</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在撤消授权的书面通知以前，本授权书一直有效。被授权人签署的所有文件（在授权书有效期内签署的）不因授权的撤消而失效。</w:t>
      </w:r>
    </w:p>
    <w:p>
      <w:pPr>
        <w:adjustRightInd w:val="0"/>
        <w:snapToGrid w:val="0"/>
        <w:spacing w:line="360" w:lineRule="auto"/>
        <w:ind w:firstLine="480" w:firstLineChars="200"/>
        <w:rPr>
          <w:rFonts w:hint="eastAsia" w:ascii="宋体" w:hAnsi="宋体"/>
          <w:color w:val="auto"/>
          <w:sz w:val="24"/>
          <w:szCs w:val="24"/>
        </w:rPr>
      </w:pPr>
    </w:p>
    <w:p>
      <w:pPr>
        <w:adjustRightInd w:val="0"/>
        <w:snapToGrid w:val="0"/>
        <w:spacing w:line="360" w:lineRule="auto"/>
        <w:ind w:firstLine="480" w:firstLineChars="200"/>
        <w:rPr>
          <w:rFonts w:hint="eastAsia" w:ascii="宋体" w:hAnsi="宋体"/>
          <w:color w:val="auto"/>
          <w:sz w:val="24"/>
          <w:szCs w:val="24"/>
        </w:rPr>
      </w:pPr>
    </w:p>
    <w:p>
      <w:pPr>
        <w:adjustRightInd w:val="0"/>
        <w:snapToGrid w:val="0"/>
        <w:spacing w:line="360" w:lineRule="auto"/>
        <w:ind w:firstLine="480" w:firstLineChars="200"/>
        <w:rPr>
          <w:rFonts w:hint="eastAsia" w:ascii="宋体" w:hAnsi="宋体"/>
          <w:color w:val="auto"/>
          <w:sz w:val="24"/>
          <w:szCs w:val="24"/>
        </w:rPr>
      </w:pP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被授权人签名：</w:t>
      </w:r>
      <w:r>
        <w:rPr>
          <w:rFonts w:hint="eastAsia" w:ascii="宋体" w:hAnsi="宋体"/>
          <w:color w:val="auto"/>
          <w:sz w:val="24"/>
          <w:szCs w:val="24"/>
          <w:u w:val="single"/>
          <w:lang w:val="en-US" w:eastAsia="zh-CN"/>
        </w:rPr>
        <w:t xml:space="preserve">                  </w:t>
      </w:r>
      <w:r>
        <w:rPr>
          <w:rFonts w:hint="eastAsia" w:ascii="宋体" w:hAnsi="宋体"/>
          <w:color w:val="auto"/>
          <w:sz w:val="24"/>
          <w:szCs w:val="24"/>
        </w:rPr>
        <w:t xml:space="preserve">                    </w:t>
      </w:r>
    </w:p>
    <w:p>
      <w:pPr>
        <w:adjustRightInd w:val="0"/>
        <w:snapToGrid w:val="0"/>
        <w:spacing w:line="360" w:lineRule="auto"/>
        <w:rPr>
          <w:rFonts w:hint="eastAsia" w:ascii="宋体" w:hAnsi="宋体"/>
          <w:color w:val="auto"/>
          <w:sz w:val="24"/>
          <w:szCs w:val="24"/>
        </w:rPr>
      </w:pP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授权人</w:t>
      </w:r>
      <w:r>
        <w:rPr>
          <w:rFonts w:hint="eastAsia" w:ascii="宋体" w:hAnsi="宋体"/>
          <w:color w:val="auto"/>
          <w:sz w:val="24"/>
          <w:szCs w:val="24"/>
          <w:lang w:eastAsia="zh-CN"/>
        </w:rPr>
        <w:t>（</w:t>
      </w:r>
      <w:r>
        <w:rPr>
          <w:rFonts w:hint="eastAsia" w:ascii="宋体" w:hAnsi="宋体"/>
          <w:color w:val="auto"/>
          <w:sz w:val="24"/>
          <w:szCs w:val="24"/>
        </w:rPr>
        <w:t>竞租人</w:t>
      </w:r>
      <w:r>
        <w:rPr>
          <w:rFonts w:hint="eastAsia" w:ascii="宋体" w:hAnsi="宋体"/>
          <w:color w:val="auto"/>
          <w:sz w:val="24"/>
          <w:szCs w:val="24"/>
          <w:lang w:eastAsia="zh-CN"/>
        </w:rPr>
        <w:t>）</w:t>
      </w:r>
      <w:r>
        <w:rPr>
          <w:rFonts w:hint="eastAsia" w:ascii="宋体" w:hAnsi="宋体"/>
          <w:color w:val="auto"/>
          <w:sz w:val="24"/>
          <w:szCs w:val="24"/>
        </w:rPr>
        <w:t>签名</w:t>
      </w:r>
      <w:r>
        <w:rPr>
          <w:rFonts w:hint="eastAsia" w:ascii="宋体" w:hAnsi="宋体"/>
          <w:color w:val="auto"/>
          <w:sz w:val="24"/>
          <w:szCs w:val="24"/>
          <w:lang w:val="en-US" w:eastAsia="zh-CN"/>
        </w:rPr>
        <w:t>或盖章</w:t>
      </w:r>
      <w:r>
        <w:rPr>
          <w:rFonts w:hint="eastAsia" w:ascii="宋体" w:hAnsi="宋体"/>
          <w:color w:val="auto"/>
          <w:sz w:val="24"/>
          <w:szCs w:val="24"/>
        </w:rPr>
        <w:t>：</w:t>
      </w:r>
      <w:r>
        <w:rPr>
          <w:rFonts w:hint="eastAsia" w:ascii="宋体" w:hAnsi="宋体"/>
          <w:color w:val="auto"/>
          <w:sz w:val="24"/>
          <w:szCs w:val="24"/>
          <w:u w:val="single"/>
          <w:lang w:val="en-US" w:eastAsia="zh-CN"/>
        </w:rPr>
        <w:t xml:space="preserve">                         </w:t>
      </w:r>
      <w:r>
        <w:rPr>
          <w:rFonts w:hint="eastAsia" w:ascii="宋体" w:hAnsi="宋体"/>
          <w:color w:val="auto"/>
          <w:sz w:val="24"/>
          <w:szCs w:val="24"/>
        </w:rPr>
        <w:t xml:space="preserve">                               </w:t>
      </w:r>
    </w:p>
    <w:p>
      <w:pPr>
        <w:adjustRightInd w:val="0"/>
        <w:snapToGrid w:val="0"/>
        <w:spacing w:line="360" w:lineRule="auto"/>
        <w:ind w:firstLine="480" w:firstLineChars="200"/>
        <w:rPr>
          <w:rFonts w:hint="eastAsia" w:ascii="宋体" w:hAnsi="宋体"/>
          <w:color w:val="auto"/>
          <w:sz w:val="24"/>
          <w:szCs w:val="24"/>
        </w:rPr>
      </w:pP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p>
    <w:p>
      <w:pPr>
        <w:adjustRightInd w:val="0"/>
        <w:snapToGrid w:val="0"/>
        <w:spacing w:line="360" w:lineRule="auto"/>
        <w:ind w:firstLine="480" w:firstLineChars="200"/>
        <w:rPr>
          <w:rFonts w:hint="eastAsia" w:ascii="宋体" w:hAnsi="宋体"/>
          <w:color w:val="auto"/>
          <w:sz w:val="24"/>
          <w:szCs w:val="24"/>
        </w:rPr>
      </w:pPr>
    </w:p>
    <w:p>
      <w:pPr>
        <w:adjustRightInd w:val="0"/>
        <w:snapToGrid w:val="0"/>
        <w:spacing w:line="360" w:lineRule="auto"/>
        <w:ind w:left="5280" w:hanging="5280" w:hangingChars="2200"/>
        <w:rPr>
          <w:rFonts w:hint="eastAsia"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年    月     日</w:t>
      </w:r>
    </w:p>
    <w:p>
      <w:pPr>
        <w:adjustRightInd w:val="0"/>
        <w:snapToGrid w:val="0"/>
        <w:spacing w:line="360" w:lineRule="auto"/>
        <w:rPr>
          <w:rFonts w:hint="eastAsia" w:ascii="方正仿宋_GBK" w:hAnsi="方正仿宋_GBK" w:eastAsia="方正仿宋_GBK" w:cs="方正仿宋_GBK"/>
          <w:kern w:val="0"/>
          <w:sz w:val="24"/>
          <w:szCs w:val="24"/>
        </w:rPr>
      </w:pPr>
    </w:p>
    <w:sectPr>
      <w:pgSz w:w="11905" w:h="16838"/>
      <w:pgMar w:top="1134" w:right="1134" w:bottom="113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472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4725" cy="147955"/>
                      </a:xfrm>
                      <a:prstGeom prst="rect">
                        <a:avLst/>
                      </a:prstGeom>
                      <a:noFill/>
                      <a:ln>
                        <a:noFill/>
                      </a:ln>
                      <a:effectLst/>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6.75pt;mso-position-horizontal:center;mso-position-horizontal-relative:margin;mso-wrap-style:none;z-index:251659264;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9uWx0gAAAAQBAAAPAAAAAAAAAAEAIAAAACIA&#10;AABkcnMvZG93bnJldi54bWxQSwECFAAUAAAACACHTuJAM0dYlA8CAAAQBAAADgAAAAAAAAABACAA&#10;AAAhAQAAZHJzL2Uyb0RvYy54bWxQSwUGAAAAAAYABgBZAQAAogU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D5335"/>
    <w:multiLevelType w:val="singleLevel"/>
    <w:tmpl w:val="FF6D53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D9"/>
    <w:rsid w:val="001A6C04"/>
    <w:rsid w:val="002220A2"/>
    <w:rsid w:val="00360EE2"/>
    <w:rsid w:val="003D2669"/>
    <w:rsid w:val="008D4FE4"/>
    <w:rsid w:val="00B84C95"/>
    <w:rsid w:val="00BC2DD9"/>
    <w:rsid w:val="00D0376D"/>
    <w:rsid w:val="00ED2F47"/>
    <w:rsid w:val="255F0AAC"/>
    <w:rsid w:val="2C383164"/>
    <w:rsid w:val="2E0C31CE"/>
    <w:rsid w:val="396B4F75"/>
    <w:rsid w:val="3E6007F6"/>
    <w:rsid w:val="44D94A27"/>
    <w:rsid w:val="55216F84"/>
    <w:rsid w:val="57DA0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paragraph" w:styleId="2">
    <w:name w:val="heading 2"/>
    <w:basedOn w:val="1"/>
    <w:next w:val="1"/>
    <w:link w:val="9"/>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0"/>
    <w:unhideWhenUsed/>
    <w:qFormat/>
    <w:uiPriority w:val="0"/>
    <w:pPr>
      <w:spacing w:after="120"/>
    </w:pPr>
    <w:rPr>
      <w:rFonts w:ascii="Times New Roman" w:hAnsi="Times New Roman"/>
      <w:szCs w:val="21"/>
    </w:rPr>
  </w:style>
  <w:style w:type="paragraph" w:styleId="4">
    <w:name w:val="Body Text Indent 2"/>
    <w:basedOn w:val="1"/>
    <w:link w:val="11"/>
    <w:unhideWhenUsed/>
    <w:uiPriority w:val="99"/>
    <w:pPr>
      <w:spacing w:after="120" w:line="480" w:lineRule="auto"/>
      <w:ind w:left="420" w:leftChars="200"/>
    </w:p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Char"/>
    <w:basedOn w:val="8"/>
    <w:link w:val="2"/>
    <w:qFormat/>
    <w:uiPriority w:val="0"/>
    <w:rPr>
      <w:rFonts w:ascii="Arial" w:hAnsi="Arial" w:eastAsia="黑体" w:cs="Times New Roman"/>
      <w:b/>
      <w:sz w:val="32"/>
      <w:szCs w:val="20"/>
    </w:rPr>
  </w:style>
  <w:style w:type="character" w:customStyle="1" w:styleId="10">
    <w:name w:val="正文文本 Char"/>
    <w:basedOn w:val="8"/>
    <w:link w:val="3"/>
    <w:qFormat/>
    <w:uiPriority w:val="0"/>
    <w:rPr>
      <w:rFonts w:ascii="Times New Roman" w:hAnsi="Times New Roman" w:eastAsia="宋体" w:cs="Times New Roman"/>
      <w:szCs w:val="21"/>
    </w:rPr>
  </w:style>
  <w:style w:type="character" w:customStyle="1" w:styleId="11">
    <w:name w:val="正文文本缩进 2 Char"/>
    <w:basedOn w:val="8"/>
    <w:link w:val="4"/>
    <w:qFormat/>
    <w:uiPriority w:val="99"/>
    <w:rPr>
      <w:rFonts w:ascii="Calibri" w:hAnsi="Calibri" w:eastAsia="宋体" w:cs="Times New Roman"/>
      <w:szCs w:val="20"/>
    </w:rPr>
  </w:style>
  <w:style w:type="character" w:customStyle="1" w:styleId="12">
    <w:name w:val="页脚 Char"/>
    <w:basedOn w:val="8"/>
    <w:link w:val="5"/>
    <w:qFormat/>
    <w:uiPriority w:val="0"/>
    <w:rPr>
      <w:rFonts w:ascii="Calibri" w:hAnsi="Calibri" w:eastAsia="宋体" w:cs="Times New Roman"/>
      <w:sz w:val="18"/>
      <w:szCs w:val="18"/>
    </w:rPr>
  </w:style>
  <w:style w:type="character" w:customStyle="1" w:styleId="13">
    <w:name w:val="para1"/>
    <w:qFormat/>
    <w:uiPriority w:val="0"/>
    <w:rPr>
      <w:rFonts w:hint="default" w:ascii="Arial" w:hAnsi="Arial" w:cs="Arial"/>
      <w:sz w:val="18"/>
      <w:szCs w:val="18"/>
    </w:rPr>
  </w:style>
  <w:style w:type="paragraph" w:customStyle="1" w:styleId="14">
    <w:name w:val="论文正文"/>
    <w:basedOn w:val="1"/>
    <w:qFormat/>
    <w:uiPriority w:val="0"/>
    <w:pPr>
      <w:spacing w:line="360" w:lineRule="auto"/>
      <w:ind w:firstLine="480" w:firstLineChars="200"/>
    </w:pPr>
    <w:rPr>
      <w:rFonts w:ascii="宋体" w:hAnsi="宋体" w:cs="宋体"/>
      <w:kern w:val="0"/>
      <w:sz w:val="24"/>
    </w:rPr>
  </w:style>
  <w:style w:type="character" w:customStyle="1" w:styleId="15">
    <w:name w:val="页眉 Char"/>
    <w:basedOn w:val="8"/>
    <w:link w:val="6"/>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720</Words>
  <Characters>4110</Characters>
  <Lines>34</Lines>
  <Paragraphs>9</Paragraphs>
  <TotalTime>3</TotalTime>
  <ScaleCrop>false</ScaleCrop>
  <LinksUpToDate>false</LinksUpToDate>
  <CharactersWithSpaces>4821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2021-03-18T14:09:00Z</dcterms:created>
  <dc:creator>HUAWEI</dc:creator>
  <cp:lastModifiedBy>Administrator</cp:lastModifiedBy>
  <dcterms:modified xsi:type="dcterms:W3CDTF">2021-03-19T01:45:51Z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FCC45F9F0C0C433C9C61AE82BFC90B91</vt:lpwstr>
  </property>
</Properties>
</file>