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410"/>
          <w:tab w:val="left" w:pos="5160"/>
        </w:tabs>
        <w:jc w:val="left"/>
        <w:rPr>
          <w:rFonts w:ascii="宋体"/>
          <w:color w:val="000000"/>
          <w:spacing w:val="80"/>
          <w:sz w:val="100"/>
          <w:szCs w:val="100"/>
          <w14:shadow w14:blurRad="50800" w14:dist="38100" w14:dir="2700000" w14:sx="100000" w14:sy="100000" w14:kx="0" w14:ky="0" w14:algn="tl">
            <w14:srgbClr w14:val="000000">
              <w14:alpha w14:val="60000"/>
            </w14:srgbClr>
          </w14:shadow>
        </w:rPr>
      </w:pPr>
      <w:r>
        <w:rPr>
          <w:rFonts w:ascii="宋体"/>
          <w:color w:val="000000"/>
          <w:spacing w:val="80"/>
          <w:sz w:val="100"/>
          <w:szCs w:val="100"/>
          <w14:shadow w14:blurRad="50800" w14:dist="38100" w14:dir="2700000" w14:sx="100000" w14:sy="100000" w14:kx="0" w14:ky="0" w14:algn="tl">
            <w14:srgbClr w14:val="000000">
              <w14:alpha w14:val="60000"/>
            </w14:srgbClr>
          </w14:shadow>
        </w:rPr>
        <w:tab/>
      </w:r>
      <w:r>
        <w:rPr>
          <w:rFonts w:ascii="宋体"/>
          <w:color w:val="000000"/>
          <w:spacing w:val="80"/>
          <w:sz w:val="100"/>
          <w:szCs w:val="100"/>
          <w14:shadow w14:blurRad="50800" w14:dist="38100" w14:dir="2700000" w14:sx="100000" w14:sy="100000" w14:kx="0" w14:ky="0" w14:algn="tl">
            <w14:srgbClr w14:val="000000">
              <w14:alpha w14:val="60000"/>
            </w14:srgbClr>
          </w14:shadow>
        </w:rPr>
        <w:tab/>
      </w:r>
    </w:p>
    <w:p>
      <w:pPr>
        <w:jc w:val="center"/>
        <w:rPr>
          <w:rFonts w:ascii="华文细黑" w:hAnsi="华文细黑" w:eastAsia="华文细黑"/>
          <w:color w:val="000000"/>
          <w:spacing w:val="80"/>
          <w:sz w:val="100"/>
          <w:szCs w:val="100"/>
          <w14:shadow w14:blurRad="50800" w14:dist="38100" w14:dir="2700000" w14:sx="100000" w14:sy="100000" w14:kx="0" w14:ky="0" w14:algn="tl">
            <w14:srgbClr w14:val="000000">
              <w14:alpha w14:val="60000"/>
            </w14:srgbClr>
          </w14:shadow>
        </w:rPr>
      </w:pPr>
      <w:r>
        <w:rPr>
          <w:rFonts w:hint="eastAsia" w:ascii="华文细黑" w:hAnsi="华文细黑" w:eastAsia="华文细黑" w:cs="华文细黑"/>
          <w:color w:val="000000"/>
          <w:spacing w:val="80"/>
          <w:sz w:val="100"/>
          <w:szCs w:val="100"/>
          <w14:shadow w14:blurRad="50800" w14:dist="38100" w14:dir="2700000" w14:sx="100000" w14:sy="100000" w14:kx="0" w14:ky="0" w14:algn="tl">
            <w14:srgbClr w14:val="000000">
              <w14:alpha w14:val="60000"/>
            </w14:srgbClr>
          </w14:shadow>
        </w:rPr>
        <w:t>询价采购文件</w:t>
      </w:r>
    </w:p>
    <w:p>
      <w:pPr>
        <w:spacing w:line="700" w:lineRule="exact"/>
        <w:rPr>
          <w:rFonts w:ascii="华文细黑" w:hAnsi="华文细黑" w:eastAsia="华文细黑"/>
          <w:color w:val="000000"/>
          <w:spacing w:val="80"/>
          <w:sz w:val="100"/>
          <w:szCs w:val="100"/>
          <w14:shadow w14:blurRad="50800" w14:dist="38100" w14:dir="2700000" w14:sx="100000" w14:sy="100000" w14:kx="0" w14:ky="0" w14:algn="tl">
            <w14:srgbClr w14:val="000000">
              <w14:alpha w14:val="60000"/>
            </w14:srgbClr>
          </w14:shadow>
        </w:rPr>
      </w:pPr>
    </w:p>
    <w:p>
      <w:pPr>
        <w:spacing w:line="700" w:lineRule="exact"/>
        <w:rPr>
          <w:rFonts w:ascii="华文细黑" w:hAnsi="华文细黑" w:eastAsia="华文细黑"/>
          <w:color w:val="000000"/>
          <w:spacing w:val="80"/>
          <w:sz w:val="100"/>
          <w:szCs w:val="100"/>
          <w14:shadow w14:blurRad="50800" w14:dist="38100" w14:dir="2700000" w14:sx="100000" w14:sy="100000" w14:kx="0" w14:ky="0" w14:algn="tl">
            <w14:srgbClr w14:val="000000">
              <w14:alpha w14:val="60000"/>
            </w14:srgbClr>
          </w14:shadow>
        </w:rPr>
      </w:pPr>
    </w:p>
    <w:p>
      <w:pPr>
        <w:spacing w:line="700" w:lineRule="exact"/>
        <w:rPr>
          <w:rFonts w:ascii="华文细黑" w:hAnsi="华文细黑" w:eastAsia="华文细黑"/>
          <w:color w:val="000000"/>
          <w:spacing w:val="80"/>
          <w:sz w:val="36"/>
          <w:szCs w:val="36"/>
          <w14:shadow w14:blurRad="50800" w14:dist="38100" w14:dir="2700000" w14:sx="100000" w14:sy="100000" w14:kx="0" w14:ky="0" w14:algn="tl">
            <w14:srgbClr w14:val="000000">
              <w14:alpha w14:val="60000"/>
            </w14:srgbClr>
          </w14:shadow>
        </w:rPr>
      </w:pPr>
    </w:p>
    <w:p>
      <w:pPr>
        <w:ind w:firstLine="1281" w:firstLineChars="400"/>
        <w:rPr>
          <w:rFonts w:ascii="华文细黑" w:hAnsi="华文细黑" w:eastAsia="华文细黑"/>
          <w:b/>
          <w:bCs/>
          <w:sz w:val="32"/>
          <w:szCs w:val="32"/>
        </w:rPr>
      </w:pPr>
      <w:r>
        <w:rPr>
          <w:rFonts w:hint="eastAsia" w:ascii="华文细黑" w:hAnsi="华文细黑" w:eastAsia="华文细黑" w:cs="华文细黑"/>
          <w:b/>
          <w:bCs/>
          <w:sz w:val="32"/>
          <w:szCs w:val="32"/>
        </w:rPr>
        <w:t>采购执行单号</w:t>
      </w: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H2017048</w:t>
      </w:r>
    </w:p>
    <w:p>
      <w:pPr>
        <w:rPr>
          <w:rFonts w:ascii="华文细黑" w:hAnsi="华文细黑" w:eastAsia="华文细黑"/>
          <w:sz w:val="32"/>
          <w:szCs w:val="32"/>
        </w:rPr>
      </w:pPr>
    </w:p>
    <w:p>
      <w:pPr>
        <w:adjustRightInd w:val="0"/>
        <w:snapToGrid w:val="0"/>
        <w:ind w:left="3023" w:leftChars="456" w:hanging="1746" w:hangingChars="545"/>
        <w:rPr>
          <w:rFonts w:ascii="华文细黑" w:hAnsi="华文细黑" w:eastAsia="华文细黑"/>
          <w:b/>
          <w:bCs/>
          <w:sz w:val="32"/>
          <w:szCs w:val="32"/>
        </w:rPr>
      </w:pPr>
      <w:r>
        <w:rPr>
          <w:rFonts w:hint="eastAsia" w:ascii="华文细黑" w:hAnsi="华文细黑" w:eastAsia="华文细黑" w:cs="华文细黑"/>
          <w:b/>
          <w:bCs/>
          <w:sz w:val="32"/>
          <w:szCs w:val="32"/>
        </w:rPr>
        <w:t>项目名称</w:t>
      </w: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机房蓄电池</w:t>
      </w: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360" w:lineRule="auto"/>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四川外国语大学招投标采购办公室制</w:t>
      </w:r>
    </w:p>
    <w:p>
      <w:pPr>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二〇一七年</w:t>
      </w:r>
      <w:r>
        <w:rPr>
          <w:rFonts w:hint="eastAsia" w:ascii="华文细黑" w:hAnsi="华文细黑" w:eastAsia="华文细黑" w:cs="华文细黑"/>
          <w:b/>
          <w:bCs/>
          <w:color w:val="000000"/>
          <w:sz w:val="32"/>
          <w:szCs w:val="32"/>
          <w:lang w:eastAsia="zh-CN"/>
        </w:rPr>
        <w:t>七</w:t>
      </w:r>
      <w:r>
        <w:rPr>
          <w:rFonts w:hint="eastAsia" w:ascii="华文细黑" w:hAnsi="华文细黑" w:eastAsia="华文细黑" w:cs="华文细黑"/>
          <w:b/>
          <w:bCs/>
          <w:color w:val="000000"/>
          <w:sz w:val="32"/>
          <w:szCs w:val="32"/>
        </w:rPr>
        <w:t>月</w:t>
      </w:r>
    </w:p>
    <w:p>
      <w:pPr>
        <w:spacing w:line="700" w:lineRule="exact"/>
        <w:rPr>
          <w:rFonts w:ascii="华文细黑" w:hAnsi="华文细黑" w:eastAsia="华文细黑"/>
          <w:b/>
          <w:bCs/>
          <w:color w:val="000000"/>
          <w:sz w:val="36"/>
          <w:szCs w:val="36"/>
        </w:rPr>
        <w:sectPr>
          <w:headerReference r:id="rId5" w:type="first"/>
          <w:headerReference r:id="rId3" w:type="default"/>
          <w:footerReference r:id="rId6" w:type="default"/>
          <w:headerReference r:id="rId4" w:type="even"/>
          <w:footerReference r:id="rId7" w:type="even"/>
          <w:pgSz w:w="11907" w:h="16840"/>
          <w:pgMar w:top="1440" w:right="1797" w:bottom="1440" w:left="1797" w:header="851" w:footer="992" w:gutter="0"/>
          <w:pgNumType w:start="0"/>
          <w:cols w:space="720" w:num="1"/>
          <w:titlePg/>
          <w:docGrid w:linePitch="380" w:charSpace="-5735"/>
        </w:sectPr>
      </w:pPr>
    </w:p>
    <w:p>
      <w:pPr>
        <w:spacing w:line="700" w:lineRule="exact"/>
        <w:jc w:val="center"/>
        <w:rPr>
          <w:rFonts w:ascii="华文细黑" w:hAnsi="华文细黑" w:eastAsia="华文细黑" w:cs="华文细黑"/>
          <w:b/>
          <w:bCs/>
          <w:color w:val="000000"/>
          <w:sz w:val="24"/>
          <w:szCs w:val="24"/>
        </w:rPr>
      </w:pPr>
      <w:r>
        <w:rPr>
          <w:rFonts w:hint="eastAsia" w:ascii="华文细黑" w:hAnsi="华文细黑" w:eastAsia="华文细黑" w:cs="华文细黑"/>
          <w:b/>
          <w:bCs/>
          <w:color w:val="000000"/>
          <w:sz w:val="24"/>
          <w:szCs w:val="24"/>
        </w:rPr>
        <w:t>目录</w:t>
      </w:r>
    </w:p>
    <w:p>
      <w:pPr>
        <w:pStyle w:val="18"/>
        <w:tabs>
          <w:tab w:val="right" w:leader="dot" w:pos="9258"/>
        </w:tabs>
      </w:pPr>
      <w:bookmarkStart w:id="0" w:name="_Toc223847741"/>
      <w:bookmarkStart w:id="1" w:name="_Toc25725118"/>
      <w:r>
        <w:rPr>
          <w:rStyle w:val="27"/>
          <w:rFonts w:hint="eastAsia"/>
          <w:sz w:val="24"/>
        </w:rPr>
        <w:fldChar w:fldCharType="begin"/>
      </w:r>
      <w:r>
        <w:rPr>
          <w:rStyle w:val="27"/>
          <w:rFonts w:hint="eastAsia" w:ascii="华文细黑" w:hAnsi="华文细黑" w:eastAsia="华文细黑" w:cs="华文细黑"/>
          <w:sz w:val="24"/>
          <w:szCs w:val="24"/>
        </w:rPr>
        <w:instrText xml:space="preserve"> TOC \o "1-3" \h \z \u </w:instrText>
      </w:r>
      <w:r>
        <w:rPr>
          <w:rStyle w:val="27"/>
          <w:rFonts w:hint="eastAsia"/>
          <w:sz w:val="24"/>
        </w:rPr>
        <w:fldChar w:fldCharType="separate"/>
      </w:r>
      <w:r>
        <w:fldChar w:fldCharType="begin"/>
      </w:r>
      <w:r>
        <w:instrText xml:space="preserve"> HYPERLINK \l "_Toc31331" </w:instrText>
      </w:r>
      <w:r>
        <w:fldChar w:fldCharType="separate"/>
      </w:r>
      <w:r>
        <w:rPr>
          <w:rFonts w:hint="eastAsia" w:ascii="华文细黑" w:hAnsi="华文细黑" w:eastAsia="华文细黑" w:cs="华文细黑"/>
          <w:szCs w:val="30"/>
        </w:rPr>
        <w:t>第一篇　询价采购项目书</w:t>
      </w:r>
      <w:r>
        <w:tab/>
      </w:r>
      <w:r>
        <w:fldChar w:fldCharType="begin"/>
      </w:r>
      <w:r>
        <w:instrText xml:space="preserve"> PAGEREF _Toc31331 </w:instrText>
      </w:r>
      <w:r>
        <w:fldChar w:fldCharType="separate"/>
      </w:r>
      <w:r>
        <w:t>2</w:t>
      </w:r>
      <w:r>
        <w:fldChar w:fldCharType="end"/>
      </w:r>
      <w:r>
        <w:fldChar w:fldCharType="end"/>
      </w:r>
    </w:p>
    <w:p>
      <w:pPr>
        <w:pStyle w:val="21"/>
        <w:tabs>
          <w:tab w:val="right" w:leader="dot" w:pos="9258"/>
        </w:tabs>
      </w:pPr>
      <w:r>
        <w:fldChar w:fldCharType="begin"/>
      </w:r>
      <w:r>
        <w:instrText xml:space="preserve"> HYPERLINK \l "_Toc9101" </w:instrText>
      </w:r>
      <w:r>
        <w:fldChar w:fldCharType="separate"/>
      </w:r>
      <w:r>
        <w:rPr>
          <w:rFonts w:hint="eastAsia" w:ascii="华文细黑" w:hAnsi="华文细黑" w:eastAsia="华文细黑" w:cs="华文细黑"/>
        </w:rPr>
        <w:t>一、询价采购时间、地点</w:t>
      </w:r>
      <w:r>
        <w:tab/>
      </w:r>
      <w:r>
        <w:fldChar w:fldCharType="begin"/>
      </w:r>
      <w:r>
        <w:instrText xml:space="preserve"> PAGEREF _Toc9101 </w:instrText>
      </w:r>
      <w:r>
        <w:fldChar w:fldCharType="separate"/>
      </w:r>
      <w:r>
        <w:t>2</w:t>
      </w:r>
      <w:r>
        <w:fldChar w:fldCharType="end"/>
      </w:r>
      <w:r>
        <w:fldChar w:fldCharType="end"/>
      </w:r>
    </w:p>
    <w:p>
      <w:pPr>
        <w:pStyle w:val="21"/>
        <w:tabs>
          <w:tab w:val="right" w:leader="dot" w:pos="9258"/>
        </w:tabs>
      </w:pPr>
      <w:r>
        <w:fldChar w:fldCharType="begin"/>
      </w:r>
      <w:r>
        <w:instrText xml:space="preserve"> HYPERLINK \l "_Toc13453" </w:instrText>
      </w:r>
      <w:r>
        <w:fldChar w:fldCharType="separate"/>
      </w:r>
      <w:r>
        <w:rPr>
          <w:rFonts w:hint="eastAsia" w:ascii="华文细黑" w:hAnsi="华文细黑" w:eastAsia="华文细黑" w:cs="华文细黑"/>
        </w:rPr>
        <w:t>二、有关规定</w:t>
      </w:r>
      <w:r>
        <w:tab/>
      </w:r>
      <w:r>
        <w:fldChar w:fldCharType="begin"/>
      </w:r>
      <w:r>
        <w:instrText xml:space="preserve"> PAGEREF _Toc13453 </w:instrText>
      </w:r>
      <w:r>
        <w:fldChar w:fldCharType="separate"/>
      </w:r>
      <w:r>
        <w:t>3</w:t>
      </w:r>
      <w:r>
        <w:fldChar w:fldCharType="end"/>
      </w:r>
      <w:r>
        <w:fldChar w:fldCharType="end"/>
      </w:r>
    </w:p>
    <w:p>
      <w:pPr>
        <w:pStyle w:val="21"/>
        <w:tabs>
          <w:tab w:val="right" w:leader="dot" w:pos="9258"/>
        </w:tabs>
      </w:pPr>
      <w:r>
        <w:fldChar w:fldCharType="begin"/>
      </w:r>
      <w:r>
        <w:instrText xml:space="preserve"> HYPERLINK \l "_Toc9475" </w:instrText>
      </w:r>
      <w:r>
        <w:fldChar w:fldCharType="separate"/>
      </w:r>
      <w:r>
        <w:rPr>
          <w:rFonts w:hint="eastAsia" w:ascii="华文细黑" w:hAnsi="华文细黑" w:eastAsia="华文细黑" w:cs="华文细黑"/>
        </w:rPr>
        <w:t>三、采购文件文本费及保证金缴退说明</w:t>
      </w:r>
      <w:r>
        <w:tab/>
      </w:r>
      <w:r>
        <w:fldChar w:fldCharType="begin"/>
      </w:r>
      <w:r>
        <w:instrText xml:space="preserve"> PAGEREF _Toc9475 </w:instrText>
      </w:r>
      <w:r>
        <w:fldChar w:fldCharType="separate"/>
      </w:r>
      <w:r>
        <w:t>4</w:t>
      </w:r>
      <w:r>
        <w:fldChar w:fldCharType="end"/>
      </w:r>
      <w:r>
        <w:fldChar w:fldCharType="end"/>
      </w:r>
    </w:p>
    <w:p>
      <w:pPr>
        <w:pStyle w:val="21"/>
        <w:tabs>
          <w:tab w:val="right" w:leader="dot" w:pos="9258"/>
        </w:tabs>
      </w:pPr>
      <w:r>
        <w:fldChar w:fldCharType="begin"/>
      </w:r>
      <w:r>
        <w:instrText xml:space="preserve"> HYPERLINK \l "_Toc32582" </w:instrText>
      </w:r>
      <w:r>
        <w:fldChar w:fldCharType="separate"/>
      </w:r>
      <w:r>
        <w:rPr>
          <w:rFonts w:hint="eastAsia" w:ascii="华文细黑" w:hAnsi="华文细黑" w:eastAsia="华文细黑" w:cs="华文细黑"/>
        </w:rPr>
        <w:t>四、关于无效投标</w:t>
      </w:r>
      <w:r>
        <w:tab/>
      </w:r>
      <w:r>
        <w:fldChar w:fldCharType="begin"/>
      </w:r>
      <w:r>
        <w:instrText xml:space="preserve"> PAGEREF _Toc32582 </w:instrText>
      </w:r>
      <w:r>
        <w:fldChar w:fldCharType="separate"/>
      </w:r>
      <w:r>
        <w:t>5</w:t>
      </w:r>
      <w:r>
        <w:fldChar w:fldCharType="end"/>
      </w:r>
      <w:r>
        <w:fldChar w:fldCharType="end"/>
      </w:r>
    </w:p>
    <w:p>
      <w:pPr>
        <w:pStyle w:val="21"/>
        <w:tabs>
          <w:tab w:val="right" w:leader="dot" w:pos="9258"/>
        </w:tabs>
      </w:pPr>
      <w:r>
        <w:fldChar w:fldCharType="begin"/>
      </w:r>
      <w:r>
        <w:instrText xml:space="preserve"> HYPERLINK \l "_Toc12581" </w:instrText>
      </w:r>
      <w:r>
        <w:fldChar w:fldCharType="separate"/>
      </w:r>
      <w:r>
        <w:rPr>
          <w:rFonts w:hint="eastAsia" w:ascii="华文细黑" w:hAnsi="华文细黑" w:eastAsia="华文细黑" w:cs="华文细黑"/>
        </w:rPr>
        <w:t>五、关于废标</w:t>
      </w:r>
      <w:r>
        <w:tab/>
      </w:r>
      <w:r>
        <w:fldChar w:fldCharType="begin"/>
      </w:r>
      <w:r>
        <w:instrText xml:space="preserve"> PAGEREF _Toc12581 </w:instrText>
      </w:r>
      <w:r>
        <w:fldChar w:fldCharType="separate"/>
      </w:r>
      <w:r>
        <w:t>5</w:t>
      </w:r>
      <w:r>
        <w:fldChar w:fldCharType="end"/>
      </w:r>
      <w:r>
        <w:fldChar w:fldCharType="end"/>
      </w:r>
    </w:p>
    <w:p>
      <w:pPr>
        <w:pStyle w:val="18"/>
        <w:tabs>
          <w:tab w:val="right" w:leader="dot" w:pos="9258"/>
        </w:tabs>
      </w:pPr>
      <w:r>
        <w:fldChar w:fldCharType="begin"/>
      </w:r>
      <w:r>
        <w:instrText xml:space="preserve"> HYPERLINK \l "_Toc6054" </w:instrText>
      </w:r>
      <w:r>
        <w:fldChar w:fldCharType="separate"/>
      </w:r>
      <w:r>
        <w:rPr>
          <w:rFonts w:hint="eastAsia" w:ascii="华文细黑" w:hAnsi="华文细黑" w:eastAsia="华文细黑" w:cs="华文细黑"/>
          <w:szCs w:val="30"/>
        </w:rPr>
        <w:t>第二篇　技术要求</w:t>
      </w:r>
      <w:r>
        <w:tab/>
      </w:r>
      <w:r>
        <w:fldChar w:fldCharType="begin"/>
      </w:r>
      <w:r>
        <w:instrText xml:space="preserve"> PAGEREF _Toc6054 </w:instrText>
      </w:r>
      <w:r>
        <w:fldChar w:fldCharType="separate"/>
      </w:r>
      <w:r>
        <w:t>6</w:t>
      </w:r>
      <w:r>
        <w:fldChar w:fldCharType="end"/>
      </w:r>
      <w:r>
        <w:fldChar w:fldCharType="end"/>
      </w:r>
    </w:p>
    <w:p>
      <w:pPr>
        <w:pStyle w:val="18"/>
        <w:tabs>
          <w:tab w:val="right" w:leader="dot" w:pos="9258"/>
        </w:tabs>
      </w:pPr>
      <w:r>
        <w:fldChar w:fldCharType="begin"/>
      </w:r>
      <w:r>
        <w:instrText xml:space="preserve"> HYPERLINK \l "_Toc13879" </w:instrText>
      </w:r>
      <w:r>
        <w:fldChar w:fldCharType="separate"/>
      </w:r>
      <w:r>
        <w:rPr>
          <w:rFonts w:hint="eastAsia" w:ascii="华文细黑" w:hAnsi="华文细黑" w:eastAsia="华文细黑" w:cs="华文细黑"/>
          <w:szCs w:val="30"/>
        </w:rPr>
        <w:t>第三篇　商务要求</w:t>
      </w:r>
      <w:r>
        <w:tab/>
      </w:r>
      <w:r>
        <w:fldChar w:fldCharType="begin"/>
      </w:r>
      <w:r>
        <w:instrText xml:space="preserve"> PAGEREF _Toc13879 </w:instrText>
      </w:r>
      <w:r>
        <w:fldChar w:fldCharType="separate"/>
      </w:r>
      <w:r>
        <w:t>8</w:t>
      </w:r>
      <w:r>
        <w:fldChar w:fldCharType="end"/>
      </w:r>
      <w:r>
        <w:fldChar w:fldCharType="end"/>
      </w:r>
    </w:p>
    <w:p>
      <w:pPr>
        <w:pStyle w:val="21"/>
        <w:tabs>
          <w:tab w:val="right" w:leader="dot" w:pos="9258"/>
        </w:tabs>
      </w:pPr>
      <w:r>
        <w:fldChar w:fldCharType="begin"/>
      </w:r>
      <w:r>
        <w:instrText xml:space="preserve"> HYPERLINK \l "_Toc20729" </w:instrText>
      </w:r>
      <w:r>
        <w:fldChar w:fldCharType="separate"/>
      </w:r>
      <w:r>
        <w:rPr>
          <w:rFonts w:hint="eastAsia" w:ascii="华文细黑" w:hAnsi="华文细黑" w:eastAsia="华文细黑" w:cs="华文细黑"/>
          <w:szCs w:val="28"/>
        </w:rPr>
        <w:t>一、供货时间、地点</w:t>
      </w:r>
      <w:r>
        <w:tab/>
      </w:r>
      <w:r>
        <w:fldChar w:fldCharType="begin"/>
      </w:r>
      <w:r>
        <w:instrText xml:space="preserve"> PAGEREF _Toc20729 </w:instrText>
      </w:r>
      <w:r>
        <w:fldChar w:fldCharType="separate"/>
      </w:r>
      <w:r>
        <w:t>8</w:t>
      </w:r>
      <w:r>
        <w:fldChar w:fldCharType="end"/>
      </w:r>
      <w:r>
        <w:fldChar w:fldCharType="end"/>
      </w:r>
    </w:p>
    <w:p>
      <w:pPr>
        <w:pStyle w:val="21"/>
        <w:tabs>
          <w:tab w:val="right" w:leader="dot" w:pos="9258"/>
        </w:tabs>
      </w:pPr>
      <w:r>
        <w:fldChar w:fldCharType="begin"/>
      </w:r>
      <w:r>
        <w:instrText xml:space="preserve"> HYPERLINK \l "_Toc5954" </w:instrText>
      </w:r>
      <w:r>
        <w:fldChar w:fldCharType="separate"/>
      </w:r>
      <w:r>
        <w:rPr>
          <w:rFonts w:hint="eastAsia" w:ascii="华文细黑" w:hAnsi="华文细黑" w:eastAsia="华文细黑" w:cs="华文细黑"/>
          <w:szCs w:val="28"/>
        </w:rPr>
        <w:t>二、验收方式：</w:t>
      </w:r>
      <w:r>
        <w:tab/>
      </w:r>
      <w:r>
        <w:fldChar w:fldCharType="begin"/>
      </w:r>
      <w:r>
        <w:instrText xml:space="preserve"> PAGEREF _Toc5954 </w:instrText>
      </w:r>
      <w:r>
        <w:fldChar w:fldCharType="separate"/>
      </w:r>
      <w:r>
        <w:t>8</w:t>
      </w:r>
      <w:r>
        <w:fldChar w:fldCharType="end"/>
      </w:r>
      <w:r>
        <w:fldChar w:fldCharType="end"/>
      </w:r>
    </w:p>
    <w:p>
      <w:pPr>
        <w:pStyle w:val="21"/>
        <w:tabs>
          <w:tab w:val="right" w:leader="dot" w:pos="9258"/>
        </w:tabs>
      </w:pPr>
      <w:r>
        <w:fldChar w:fldCharType="begin"/>
      </w:r>
      <w:r>
        <w:instrText xml:space="preserve"> HYPERLINK \l "_Toc21226" </w:instrText>
      </w:r>
      <w:r>
        <w:fldChar w:fldCharType="separate"/>
      </w:r>
      <w:r>
        <w:rPr>
          <w:rFonts w:hint="eastAsia" w:ascii="华文细黑" w:hAnsi="华文细黑" w:eastAsia="华文细黑" w:cs="华文细黑"/>
          <w:szCs w:val="28"/>
        </w:rPr>
        <w:t>三、付款方式</w:t>
      </w:r>
      <w:r>
        <w:tab/>
      </w:r>
      <w:r>
        <w:fldChar w:fldCharType="begin"/>
      </w:r>
      <w:r>
        <w:instrText xml:space="preserve"> PAGEREF _Toc21226 </w:instrText>
      </w:r>
      <w:r>
        <w:fldChar w:fldCharType="separate"/>
      </w:r>
      <w:r>
        <w:t>8</w:t>
      </w:r>
      <w:r>
        <w:fldChar w:fldCharType="end"/>
      </w:r>
      <w:r>
        <w:fldChar w:fldCharType="end"/>
      </w:r>
    </w:p>
    <w:p>
      <w:pPr>
        <w:pStyle w:val="10"/>
        <w:tabs>
          <w:tab w:val="right" w:leader="dot" w:pos="9258"/>
        </w:tabs>
        <w:ind w:left="0"/>
      </w:pPr>
      <w:r>
        <w:rPr>
          <w:rFonts w:hint="eastAsia" w:ascii="华文细黑" w:hAnsi="华文细黑" w:eastAsia="华文细黑" w:cs="华文细黑"/>
          <w:szCs w:val="24"/>
        </w:rPr>
        <w:t xml:space="preserve">   </w:t>
      </w:r>
      <w:r>
        <w:fldChar w:fldCharType="begin"/>
      </w:r>
      <w:r>
        <w:instrText xml:space="preserve"> HYPERLINK \l "_Toc15831" </w:instrText>
      </w:r>
      <w:r>
        <w:fldChar w:fldCharType="separate"/>
      </w:r>
      <w:r>
        <w:rPr>
          <w:rFonts w:hint="eastAsia" w:ascii="华文细黑" w:hAnsi="华文细黑" w:eastAsia="华文细黑" w:cs="华文细黑"/>
          <w:i w:val="0"/>
          <w:iCs w:val="0"/>
          <w:szCs w:val="24"/>
        </w:rPr>
        <w:t>四</w:t>
      </w:r>
      <w:r>
        <w:rPr>
          <w:rFonts w:hint="eastAsia" w:ascii="华文细黑" w:hAnsi="华文细黑" w:eastAsia="华文细黑" w:cs="华文细黑"/>
          <w:i w:val="0"/>
          <w:iCs w:val="0"/>
          <w:szCs w:val="28"/>
        </w:rPr>
        <w:t>、质量保证及售后服务</w:t>
      </w:r>
      <w:r>
        <w:tab/>
      </w:r>
      <w:r>
        <w:fldChar w:fldCharType="begin"/>
      </w:r>
      <w:r>
        <w:instrText xml:space="preserve"> PAGEREF _Toc15831 </w:instrText>
      </w:r>
      <w:r>
        <w:fldChar w:fldCharType="separate"/>
      </w:r>
      <w:r>
        <w:t>8</w:t>
      </w:r>
      <w:r>
        <w:fldChar w:fldCharType="end"/>
      </w:r>
      <w:r>
        <w:fldChar w:fldCharType="end"/>
      </w:r>
    </w:p>
    <w:p>
      <w:pPr>
        <w:pStyle w:val="21"/>
        <w:tabs>
          <w:tab w:val="right" w:leader="dot" w:pos="9258"/>
        </w:tabs>
      </w:pPr>
      <w:r>
        <w:fldChar w:fldCharType="begin"/>
      </w:r>
      <w:r>
        <w:instrText xml:space="preserve"> HYPERLINK \l "_Toc1808" </w:instrText>
      </w:r>
      <w:r>
        <w:fldChar w:fldCharType="separate"/>
      </w:r>
      <w:r>
        <w:rPr>
          <w:rFonts w:hint="eastAsia" w:ascii="华文细黑" w:hAnsi="华文细黑" w:eastAsia="华文细黑" w:cs="华文细黑"/>
          <w:szCs w:val="28"/>
        </w:rPr>
        <w:t>五、其他</w:t>
      </w:r>
      <w:r>
        <w:tab/>
      </w:r>
      <w:r>
        <w:fldChar w:fldCharType="begin"/>
      </w:r>
      <w:r>
        <w:instrText xml:space="preserve"> PAGEREF _Toc1808 </w:instrText>
      </w:r>
      <w:r>
        <w:fldChar w:fldCharType="separate"/>
      </w:r>
      <w:r>
        <w:t>9</w:t>
      </w:r>
      <w:r>
        <w:fldChar w:fldCharType="end"/>
      </w:r>
      <w:r>
        <w:fldChar w:fldCharType="end"/>
      </w:r>
    </w:p>
    <w:p>
      <w:pPr>
        <w:pStyle w:val="18"/>
        <w:tabs>
          <w:tab w:val="right" w:leader="dot" w:pos="9258"/>
        </w:tabs>
      </w:pPr>
      <w:r>
        <w:fldChar w:fldCharType="begin"/>
      </w:r>
      <w:r>
        <w:instrText xml:space="preserve"> HYPERLINK \l "_Toc8788" </w:instrText>
      </w:r>
      <w:r>
        <w:fldChar w:fldCharType="separate"/>
      </w:r>
      <w:r>
        <w:rPr>
          <w:rFonts w:hint="eastAsia" w:ascii="华文细黑" w:hAnsi="华文细黑" w:eastAsia="华文细黑" w:cs="华文细黑"/>
          <w:szCs w:val="30"/>
        </w:rPr>
        <w:t>第四篇　合同主要条款及合同格式</w:t>
      </w:r>
      <w:r>
        <w:tab/>
      </w:r>
      <w:r>
        <w:fldChar w:fldCharType="begin"/>
      </w:r>
      <w:r>
        <w:instrText xml:space="preserve"> PAGEREF _Toc8788 </w:instrText>
      </w:r>
      <w:r>
        <w:fldChar w:fldCharType="separate"/>
      </w:r>
      <w:r>
        <w:t>10</w:t>
      </w:r>
      <w:r>
        <w:fldChar w:fldCharType="end"/>
      </w:r>
      <w:r>
        <w:fldChar w:fldCharType="end"/>
      </w:r>
    </w:p>
    <w:p>
      <w:pPr>
        <w:pStyle w:val="21"/>
        <w:tabs>
          <w:tab w:val="right" w:leader="dot" w:pos="9258"/>
        </w:tabs>
      </w:pPr>
      <w:r>
        <w:fldChar w:fldCharType="begin"/>
      </w:r>
      <w:r>
        <w:instrText xml:space="preserve"> HYPERLINK \l "_Toc27885" </w:instrText>
      </w:r>
      <w:r>
        <w:fldChar w:fldCharType="separate"/>
      </w:r>
      <w:r>
        <w:rPr>
          <w:rFonts w:hint="eastAsia" w:ascii="华文细黑" w:hAnsi="华文细黑" w:eastAsia="华文细黑" w:cs="华文细黑"/>
          <w:b/>
          <w:bCs/>
          <w:szCs w:val="24"/>
        </w:rPr>
        <w:t>一、定义</w:t>
      </w:r>
      <w:r>
        <w:tab/>
      </w:r>
      <w:r>
        <w:fldChar w:fldCharType="begin"/>
      </w:r>
      <w:r>
        <w:instrText xml:space="preserve"> PAGEREF _Toc27885 </w:instrText>
      </w:r>
      <w:r>
        <w:fldChar w:fldCharType="separate"/>
      </w:r>
      <w:r>
        <w:t>10</w:t>
      </w:r>
      <w:r>
        <w:fldChar w:fldCharType="end"/>
      </w:r>
      <w:r>
        <w:fldChar w:fldCharType="end"/>
      </w:r>
    </w:p>
    <w:p>
      <w:pPr>
        <w:pStyle w:val="21"/>
        <w:tabs>
          <w:tab w:val="right" w:leader="dot" w:pos="9258"/>
        </w:tabs>
      </w:pPr>
      <w:r>
        <w:fldChar w:fldCharType="begin"/>
      </w:r>
      <w:r>
        <w:instrText xml:space="preserve"> HYPERLINK \l "_Toc29796" </w:instrText>
      </w:r>
      <w:r>
        <w:fldChar w:fldCharType="separate"/>
      </w:r>
      <w:r>
        <w:rPr>
          <w:rFonts w:hint="eastAsia" w:ascii="华文细黑" w:hAnsi="华文细黑" w:eastAsia="华文细黑" w:cs="华文细黑"/>
          <w:b/>
          <w:bCs/>
          <w:szCs w:val="24"/>
        </w:rPr>
        <w:t>二、合同标的</w:t>
      </w:r>
      <w:r>
        <w:tab/>
      </w:r>
      <w:r>
        <w:fldChar w:fldCharType="begin"/>
      </w:r>
      <w:r>
        <w:instrText xml:space="preserve"> PAGEREF _Toc29796 </w:instrText>
      </w:r>
      <w:r>
        <w:fldChar w:fldCharType="separate"/>
      </w:r>
      <w:r>
        <w:t>10</w:t>
      </w:r>
      <w:r>
        <w:fldChar w:fldCharType="end"/>
      </w:r>
      <w:r>
        <w:fldChar w:fldCharType="end"/>
      </w:r>
    </w:p>
    <w:p>
      <w:pPr>
        <w:pStyle w:val="21"/>
        <w:tabs>
          <w:tab w:val="right" w:leader="dot" w:pos="9258"/>
        </w:tabs>
      </w:pPr>
      <w:r>
        <w:fldChar w:fldCharType="begin"/>
      </w:r>
      <w:r>
        <w:instrText xml:space="preserve"> HYPERLINK \l "_Toc13030" </w:instrText>
      </w:r>
      <w:r>
        <w:fldChar w:fldCharType="separate"/>
      </w:r>
      <w:r>
        <w:rPr>
          <w:rFonts w:hint="eastAsia" w:ascii="华文细黑" w:hAnsi="华文细黑" w:eastAsia="华文细黑" w:cs="华文细黑"/>
          <w:b/>
          <w:bCs/>
          <w:szCs w:val="24"/>
        </w:rPr>
        <w:t>三、合同价格</w:t>
      </w:r>
      <w:r>
        <w:tab/>
      </w:r>
      <w:r>
        <w:fldChar w:fldCharType="begin"/>
      </w:r>
      <w:r>
        <w:instrText xml:space="preserve"> PAGEREF _Toc13030 </w:instrText>
      </w:r>
      <w:r>
        <w:fldChar w:fldCharType="separate"/>
      </w:r>
      <w:r>
        <w:t>10</w:t>
      </w:r>
      <w:r>
        <w:fldChar w:fldCharType="end"/>
      </w:r>
      <w:r>
        <w:fldChar w:fldCharType="end"/>
      </w:r>
    </w:p>
    <w:p>
      <w:pPr>
        <w:pStyle w:val="21"/>
        <w:tabs>
          <w:tab w:val="right" w:leader="dot" w:pos="9258"/>
        </w:tabs>
      </w:pPr>
      <w:r>
        <w:fldChar w:fldCharType="begin"/>
      </w:r>
      <w:r>
        <w:instrText xml:space="preserve"> HYPERLINK \l "_Toc6300" </w:instrText>
      </w:r>
      <w:r>
        <w:fldChar w:fldCharType="separate"/>
      </w:r>
      <w:r>
        <w:rPr>
          <w:rFonts w:hint="eastAsia" w:ascii="华文细黑" w:hAnsi="华文细黑" w:eastAsia="华文细黑" w:cs="华文细黑"/>
          <w:b/>
          <w:bCs/>
          <w:szCs w:val="24"/>
        </w:rPr>
        <w:t>四、付款</w:t>
      </w:r>
      <w:r>
        <w:tab/>
      </w:r>
      <w:r>
        <w:fldChar w:fldCharType="begin"/>
      </w:r>
      <w:r>
        <w:instrText xml:space="preserve"> PAGEREF _Toc6300 </w:instrText>
      </w:r>
      <w:r>
        <w:fldChar w:fldCharType="separate"/>
      </w:r>
      <w:r>
        <w:t>10</w:t>
      </w:r>
      <w:r>
        <w:fldChar w:fldCharType="end"/>
      </w:r>
      <w:r>
        <w:fldChar w:fldCharType="end"/>
      </w:r>
    </w:p>
    <w:p>
      <w:pPr>
        <w:pStyle w:val="21"/>
        <w:tabs>
          <w:tab w:val="right" w:leader="dot" w:pos="9258"/>
        </w:tabs>
      </w:pPr>
      <w:r>
        <w:fldChar w:fldCharType="begin"/>
      </w:r>
      <w:r>
        <w:instrText xml:space="preserve"> HYPERLINK \l "_Toc25596" </w:instrText>
      </w:r>
      <w:r>
        <w:fldChar w:fldCharType="separate"/>
      </w:r>
      <w:r>
        <w:rPr>
          <w:rFonts w:hint="eastAsia" w:ascii="华文细黑" w:hAnsi="华文细黑" w:eastAsia="华文细黑" w:cs="华文细黑"/>
          <w:b/>
          <w:bCs/>
          <w:szCs w:val="24"/>
        </w:rPr>
        <w:t>五、合同生效及其它</w:t>
      </w:r>
      <w:r>
        <w:tab/>
      </w:r>
      <w:r>
        <w:fldChar w:fldCharType="begin"/>
      </w:r>
      <w:r>
        <w:instrText xml:space="preserve"> PAGEREF _Toc25596 </w:instrText>
      </w:r>
      <w:r>
        <w:fldChar w:fldCharType="separate"/>
      </w:r>
      <w:r>
        <w:t>10</w:t>
      </w:r>
      <w:r>
        <w:fldChar w:fldCharType="end"/>
      </w:r>
      <w:r>
        <w:fldChar w:fldCharType="end"/>
      </w:r>
    </w:p>
    <w:p>
      <w:pPr>
        <w:pStyle w:val="21"/>
        <w:tabs>
          <w:tab w:val="right" w:leader="dot" w:pos="9258"/>
        </w:tabs>
      </w:pPr>
      <w:r>
        <w:fldChar w:fldCharType="begin"/>
      </w:r>
      <w:r>
        <w:instrText xml:space="preserve"> HYPERLINK \l "_Toc11208" </w:instrText>
      </w:r>
      <w:r>
        <w:fldChar w:fldCharType="separate"/>
      </w:r>
      <w:r>
        <w:rPr>
          <w:rFonts w:hint="eastAsia" w:ascii="华文细黑" w:hAnsi="华文细黑" w:eastAsia="华文细黑" w:cs="华文细黑"/>
          <w:b/>
          <w:bCs/>
          <w:szCs w:val="24"/>
        </w:rPr>
        <w:t>附页：合同格式（参考）</w:t>
      </w:r>
      <w:r>
        <w:tab/>
      </w:r>
      <w:r>
        <w:fldChar w:fldCharType="begin"/>
      </w:r>
      <w:r>
        <w:instrText xml:space="preserve"> PAGEREF _Toc11208 </w:instrText>
      </w:r>
      <w:r>
        <w:fldChar w:fldCharType="separate"/>
      </w:r>
      <w:r>
        <w:t>12</w:t>
      </w:r>
      <w:r>
        <w:fldChar w:fldCharType="end"/>
      </w:r>
      <w:r>
        <w:fldChar w:fldCharType="end"/>
      </w:r>
    </w:p>
    <w:p>
      <w:pPr>
        <w:pStyle w:val="18"/>
        <w:tabs>
          <w:tab w:val="right" w:leader="dot" w:pos="9258"/>
        </w:tabs>
      </w:pPr>
      <w:r>
        <w:fldChar w:fldCharType="begin"/>
      </w:r>
      <w:r>
        <w:instrText xml:space="preserve"> HYPERLINK \l "_Toc14415" </w:instrText>
      </w:r>
      <w:r>
        <w:fldChar w:fldCharType="separate"/>
      </w:r>
      <w:r>
        <w:rPr>
          <w:rFonts w:hint="eastAsia" w:ascii="华文细黑" w:hAnsi="华文细黑" w:eastAsia="华文细黑" w:cs="华文细黑"/>
          <w:szCs w:val="30"/>
        </w:rPr>
        <w:t>第五篇　询价采购报价文件格式要求</w:t>
      </w:r>
      <w:r>
        <w:tab/>
      </w:r>
      <w:r>
        <w:fldChar w:fldCharType="begin"/>
      </w:r>
      <w:r>
        <w:instrText xml:space="preserve"> PAGEREF _Toc14415 </w:instrText>
      </w:r>
      <w:r>
        <w:fldChar w:fldCharType="separate"/>
      </w:r>
      <w:r>
        <w:t>14</w:t>
      </w:r>
      <w:r>
        <w:fldChar w:fldCharType="end"/>
      </w:r>
      <w:r>
        <w:fldChar w:fldCharType="end"/>
      </w:r>
    </w:p>
    <w:p>
      <w:pPr>
        <w:pStyle w:val="21"/>
        <w:tabs>
          <w:tab w:val="right" w:leader="dot" w:pos="9258"/>
        </w:tabs>
      </w:pPr>
      <w:r>
        <w:fldChar w:fldCharType="begin"/>
      </w:r>
      <w:r>
        <w:instrText xml:space="preserve"> HYPERLINK \l "_Toc491" </w:instrText>
      </w:r>
      <w:r>
        <w:fldChar w:fldCharType="separate"/>
      </w:r>
      <w:r>
        <w:rPr>
          <w:rFonts w:hint="eastAsia" w:ascii="华文细黑" w:hAnsi="华文细黑" w:eastAsia="华文细黑" w:cs="华文细黑"/>
          <w:b/>
          <w:bCs/>
        </w:rPr>
        <w:t>一、报价部分</w:t>
      </w:r>
      <w:r>
        <w:tab/>
      </w:r>
      <w:r>
        <w:fldChar w:fldCharType="begin"/>
      </w:r>
      <w:r>
        <w:instrText xml:space="preserve"> PAGEREF _Toc491 </w:instrText>
      </w:r>
      <w:r>
        <w:fldChar w:fldCharType="separate"/>
      </w:r>
      <w:r>
        <w:t>14</w:t>
      </w:r>
      <w:r>
        <w:fldChar w:fldCharType="end"/>
      </w:r>
      <w:r>
        <w:fldChar w:fldCharType="end"/>
      </w:r>
    </w:p>
    <w:p>
      <w:pPr>
        <w:pStyle w:val="21"/>
        <w:tabs>
          <w:tab w:val="right" w:leader="dot" w:pos="9258"/>
        </w:tabs>
      </w:pPr>
      <w:r>
        <w:fldChar w:fldCharType="begin"/>
      </w:r>
      <w:r>
        <w:instrText xml:space="preserve"> HYPERLINK \l "_Toc18096" </w:instrText>
      </w:r>
      <w:r>
        <w:fldChar w:fldCharType="separate"/>
      </w:r>
      <w:r>
        <w:rPr>
          <w:rFonts w:hint="eastAsia" w:ascii="华文细黑" w:hAnsi="华文细黑" w:eastAsia="华文细黑" w:cs="华文细黑"/>
          <w:b/>
          <w:bCs/>
        </w:rPr>
        <w:t>二、商务、技术部分</w:t>
      </w:r>
      <w:r>
        <w:tab/>
      </w:r>
      <w:r>
        <w:fldChar w:fldCharType="begin"/>
      </w:r>
      <w:r>
        <w:instrText xml:space="preserve"> PAGEREF _Toc18096 </w:instrText>
      </w:r>
      <w:r>
        <w:fldChar w:fldCharType="separate"/>
      </w:r>
      <w:r>
        <w:t>14</w:t>
      </w:r>
      <w:r>
        <w:fldChar w:fldCharType="end"/>
      </w:r>
      <w:r>
        <w:fldChar w:fldCharType="end"/>
      </w:r>
    </w:p>
    <w:p>
      <w:pPr>
        <w:pStyle w:val="21"/>
        <w:tabs>
          <w:tab w:val="right" w:leader="dot" w:pos="9258"/>
        </w:tabs>
      </w:pPr>
      <w:r>
        <w:fldChar w:fldCharType="begin"/>
      </w:r>
      <w:r>
        <w:instrText xml:space="preserve"> HYPERLINK \l "_Toc1541" </w:instrText>
      </w:r>
      <w:r>
        <w:fldChar w:fldCharType="separate"/>
      </w:r>
      <w:r>
        <w:rPr>
          <w:rFonts w:hint="eastAsia" w:ascii="华文细黑" w:hAnsi="华文细黑" w:eastAsia="华文细黑" w:cs="华文细黑"/>
          <w:b/>
          <w:bCs/>
        </w:rPr>
        <w:t>（一）、竞价函</w:t>
      </w:r>
      <w:r>
        <w:tab/>
      </w:r>
      <w:r>
        <w:fldChar w:fldCharType="begin"/>
      </w:r>
      <w:r>
        <w:instrText xml:space="preserve"> PAGEREF _Toc1541 </w:instrText>
      </w:r>
      <w:r>
        <w:fldChar w:fldCharType="separate"/>
      </w:r>
      <w:r>
        <w:t>15</w:t>
      </w:r>
      <w:r>
        <w:fldChar w:fldCharType="end"/>
      </w:r>
      <w:r>
        <w:fldChar w:fldCharType="end"/>
      </w:r>
    </w:p>
    <w:p>
      <w:pPr>
        <w:pStyle w:val="21"/>
        <w:tabs>
          <w:tab w:val="right" w:leader="dot" w:pos="9258"/>
        </w:tabs>
      </w:pPr>
      <w:r>
        <w:fldChar w:fldCharType="begin"/>
      </w:r>
      <w:r>
        <w:instrText xml:space="preserve"> HYPERLINK \l "_Toc1997" </w:instrText>
      </w:r>
      <w:r>
        <w:fldChar w:fldCharType="separate"/>
      </w:r>
      <w:r>
        <w:rPr>
          <w:rFonts w:hint="eastAsia" w:ascii="华文细黑" w:hAnsi="华文细黑" w:eastAsia="华文细黑" w:cs="华文细黑"/>
          <w:b/>
          <w:bCs/>
        </w:rPr>
        <w:t>（二）、产品及配件的明细报价</w:t>
      </w:r>
      <w:r>
        <w:tab/>
      </w:r>
      <w:r>
        <w:fldChar w:fldCharType="begin"/>
      </w:r>
      <w:r>
        <w:instrText xml:space="preserve"> PAGEREF _Toc1997 </w:instrText>
      </w:r>
      <w:r>
        <w:fldChar w:fldCharType="separate"/>
      </w:r>
      <w:r>
        <w:t>16</w:t>
      </w:r>
      <w:r>
        <w:fldChar w:fldCharType="end"/>
      </w:r>
      <w:r>
        <w:fldChar w:fldCharType="end"/>
      </w:r>
    </w:p>
    <w:p>
      <w:pPr>
        <w:pStyle w:val="21"/>
        <w:tabs>
          <w:tab w:val="right" w:leader="dot" w:pos="9258"/>
        </w:tabs>
      </w:pPr>
      <w:r>
        <w:fldChar w:fldCharType="begin"/>
      </w:r>
      <w:r>
        <w:instrText xml:space="preserve"> HYPERLINK \l "_Toc18698" </w:instrText>
      </w:r>
      <w:r>
        <w:fldChar w:fldCharType="separate"/>
      </w:r>
      <w:r>
        <w:rPr>
          <w:rFonts w:hint="eastAsia" w:ascii="华文细黑" w:hAnsi="华文细黑" w:eastAsia="华文细黑" w:cs="华文细黑"/>
          <w:b/>
          <w:bCs/>
        </w:rPr>
        <w:t>（三）、所投产品及配件的技术参数、产地、品牌、性能介绍等</w:t>
      </w:r>
      <w:r>
        <w:rPr>
          <w:rFonts w:hint="eastAsia" w:ascii="华文细黑" w:hAnsi="华文细黑" w:eastAsia="华文细黑" w:cs="华文细黑"/>
          <w:szCs w:val="24"/>
        </w:rPr>
        <w:t>（格式自定）</w:t>
      </w:r>
      <w:r>
        <w:tab/>
      </w:r>
      <w:r>
        <w:fldChar w:fldCharType="begin"/>
      </w:r>
      <w:r>
        <w:instrText xml:space="preserve"> PAGEREF _Toc18698 </w:instrText>
      </w:r>
      <w:r>
        <w:fldChar w:fldCharType="separate"/>
      </w:r>
      <w:r>
        <w:t>16</w:t>
      </w:r>
      <w:r>
        <w:fldChar w:fldCharType="end"/>
      </w:r>
      <w:r>
        <w:fldChar w:fldCharType="end"/>
      </w:r>
    </w:p>
    <w:p>
      <w:pPr>
        <w:pStyle w:val="21"/>
        <w:tabs>
          <w:tab w:val="right" w:leader="dot" w:pos="9258"/>
        </w:tabs>
      </w:pPr>
      <w:r>
        <w:fldChar w:fldCharType="begin"/>
      </w:r>
      <w:r>
        <w:instrText xml:space="preserve"> HYPERLINK \l "_Toc24513" </w:instrText>
      </w:r>
      <w:r>
        <w:fldChar w:fldCharType="separate"/>
      </w:r>
      <w:r>
        <w:rPr>
          <w:rFonts w:hint="eastAsia" w:ascii="华文细黑" w:hAnsi="华文细黑" w:eastAsia="华文细黑" w:cs="华文细黑"/>
          <w:b/>
          <w:bCs/>
        </w:rPr>
        <w:t>（四）、商务条款承诺及其他优惠承诺</w:t>
      </w:r>
      <w:r>
        <w:rPr>
          <w:rFonts w:hint="eastAsia" w:ascii="华文细黑" w:hAnsi="华文细黑" w:eastAsia="华文细黑" w:cs="华文细黑"/>
          <w:szCs w:val="24"/>
        </w:rPr>
        <w:t>（格式自定）</w:t>
      </w:r>
      <w:r>
        <w:tab/>
      </w:r>
      <w:r>
        <w:fldChar w:fldCharType="begin"/>
      </w:r>
      <w:r>
        <w:instrText xml:space="preserve"> PAGEREF _Toc24513 </w:instrText>
      </w:r>
      <w:r>
        <w:fldChar w:fldCharType="separate"/>
      </w:r>
      <w:r>
        <w:t>16</w:t>
      </w:r>
      <w:r>
        <w:fldChar w:fldCharType="end"/>
      </w:r>
      <w:r>
        <w:fldChar w:fldCharType="end"/>
      </w:r>
    </w:p>
    <w:p>
      <w:pPr>
        <w:pStyle w:val="21"/>
        <w:tabs>
          <w:tab w:val="right" w:leader="dot" w:pos="9258"/>
        </w:tabs>
      </w:pPr>
      <w:r>
        <w:fldChar w:fldCharType="begin"/>
      </w:r>
      <w:r>
        <w:instrText xml:space="preserve"> HYPERLINK \l "_Toc16833" </w:instrText>
      </w:r>
      <w:r>
        <w:fldChar w:fldCharType="separate"/>
      </w:r>
      <w:r>
        <w:rPr>
          <w:rFonts w:hint="eastAsia" w:ascii="华文细黑" w:hAnsi="华文细黑" w:eastAsia="华文细黑" w:cs="华文细黑"/>
          <w:b/>
          <w:bCs/>
        </w:rPr>
        <w:t>（五）、法定代表人身份证明书（格式）</w:t>
      </w:r>
      <w:r>
        <w:tab/>
      </w:r>
      <w:r>
        <w:fldChar w:fldCharType="begin"/>
      </w:r>
      <w:r>
        <w:instrText xml:space="preserve"> PAGEREF _Toc16833 </w:instrText>
      </w:r>
      <w:r>
        <w:fldChar w:fldCharType="separate"/>
      </w:r>
      <w:r>
        <w:t>16</w:t>
      </w:r>
      <w:r>
        <w:fldChar w:fldCharType="end"/>
      </w:r>
      <w:r>
        <w:fldChar w:fldCharType="end"/>
      </w:r>
    </w:p>
    <w:p>
      <w:pPr>
        <w:pStyle w:val="21"/>
        <w:tabs>
          <w:tab w:val="right" w:leader="dot" w:pos="9258"/>
        </w:tabs>
      </w:pPr>
      <w:r>
        <w:fldChar w:fldCharType="begin"/>
      </w:r>
      <w:r>
        <w:instrText xml:space="preserve"> HYPERLINK \l "_Toc18695" </w:instrText>
      </w:r>
      <w:r>
        <w:fldChar w:fldCharType="separate"/>
      </w:r>
      <w:r>
        <w:rPr>
          <w:rFonts w:hint="eastAsia" w:ascii="华文细黑" w:hAnsi="华文细黑" w:eastAsia="华文细黑" w:cs="华文细黑"/>
          <w:b/>
          <w:bCs/>
        </w:rPr>
        <w:t>（六）、法定代表人授权委托书（格式）</w:t>
      </w:r>
      <w:r>
        <w:tab/>
      </w:r>
      <w:r>
        <w:fldChar w:fldCharType="begin"/>
      </w:r>
      <w:r>
        <w:instrText xml:space="preserve"> PAGEREF _Toc18695 </w:instrText>
      </w:r>
      <w:r>
        <w:fldChar w:fldCharType="separate"/>
      </w:r>
      <w:r>
        <w:t>17</w:t>
      </w:r>
      <w:r>
        <w:fldChar w:fldCharType="end"/>
      </w:r>
      <w:r>
        <w:fldChar w:fldCharType="end"/>
      </w:r>
    </w:p>
    <w:p>
      <w:pPr>
        <w:pStyle w:val="21"/>
        <w:tabs>
          <w:tab w:val="right" w:leader="dot" w:pos="9258"/>
        </w:tabs>
      </w:pPr>
      <w:r>
        <w:fldChar w:fldCharType="begin"/>
      </w:r>
      <w:r>
        <w:instrText xml:space="preserve"> HYPERLINK \l "_Toc3162" </w:instrText>
      </w:r>
      <w:r>
        <w:fldChar w:fldCharType="separate"/>
      </w:r>
      <w:r>
        <w:rPr>
          <w:rFonts w:hint="eastAsia" w:ascii="华文细黑" w:hAnsi="华文细黑" w:eastAsia="华文细黑" w:cs="华文细黑"/>
          <w:b/>
          <w:bCs/>
        </w:rPr>
        <w:t>（七）、供应商的企业法人营业执照复印件</w:t>
      </w:r>
      <w:r>
        <w:tab/>
      </w:r>
      <w:r>
        <w:fldChar w:fldCharType="begin"/>
      </w:r>
      <w:r>
        <w:instrText xml:space="preserve"> PAGEREF _Toc3162 </w:instrText>
      </w:r>
      <w:r>
        <w:fldChar w:fldCharType="separate"/>
      </w:r>
      <w:r>
        <w:t>17</w:t>
      </w:r>
      <w:r>
        <w:fldChar w:fldCharType="end"/>
      </w:r>
      <w:r>
        <w:fldChar w:fldCharType="end"/>
      </w:r>
    </w:p>
    <w:p>
      <w:pPr>
        <w:pStyle w:val="21"/>
        <w:tabs>
          <w:tab w:val="right" w:leader="dot" w:pos="9258"/>
        </w:tabs>
      </w:pPr>
      <w:r>
        <w:fldChar w:fldCharType="begin"/>
      </w:r>
      <w:r>
        <w:instrText xml:space="preserve"> HYPERLINK \l "_Toc21535" </w:instrText>
      </w:r>
      <w:r>
        <w:fldChar w:fldCharType="separate"/>
      </w:r>
      <w:r>
        <w:rPr>
          <w:rFonts w:hint="eastAsia" w:ascii="华文细黑" w:hAnsi="华文细黑" w:eastAsia="华文细黑" w:cs="华文细黑"/>
          <w:b/>
          <w:bCs/>
        </w:rPr>
        <w:t>（八）、其他证明</w:t>
      </w:r>
      <w:r>
        <w:rPr>
          <w:rFonts w:hint="eastAsia" w:ascii="华文细黑" w:hAnsi="华文细黑" w:eastAsia="华文细黑" w:cs="华文细黑"/>
          <w:szCs w:val="24"/>
        </w:rPr>
        <w:t>（格式自定）</w:t>
      </w:r>
      <w:r>
        <w:tab/>
      </w:r>
      <w:r>
        <w:fldChar w:fldCharType="begin"/>
      </w:r>
      <w:r>
        <w:instrText xml:space="preserve"> PAGEREF _Toc21535 </w:instrText>
      </w:r>
      <w:r>
        <w:fldChar w:fldCharType="separate"/>
      </w:r>
      <w:r>
        <w:t>18</w:t>
      </w:r>
      <w:r>
        <w:fldChar w:fldCharType="end"/>
      </w:r>
      <w:r>
        <w:fldChar w:fldCharType="end"/>
      </w:r>
    </w:p>
    <w:p>
      <w:pPr>
        <w:pStyle w:val="21"/>
        <w:tabs>
          <w:tab w:val="right" w:leader="dot" w:pos="9258"/>
        </w:tabs>
      </w:pPr>
      <w:r>
        <w:fldChar w:fldCharType="begin"/>
      </w:r>
      <w:r>
        <w:instrText xml:space="preserve"> HYPERLINK \l "_Toc12289" </w:instrText>
      </w:r>
      <w:r>
        <w:fldChar w:fldCharType="separate"/>
      </w:r>
      <w:r>
        <w:rPr>
          <w:rFonts w:hint="eastAsia" w:ascii="华文细黑" w:hAnsi="华文细黑" w:eastAsia="华文细黑" w:cs="华文细黑"/>
          <w:b/>
          <w:bCs/>
        </w:rPr>
        <w:t>（九）偏移表</w:t>
      </w:r>
      <w:r>
        <w:rPr>
          <w:rFonts w:hint="eastAsia" w:ascii="华文细黑" w:hAnsi="华文细黑" w:eastAsia="华文细黑" w:cs="华文细黑"/>
          <w:szCs w:val="24"/>
        </w:rPr>
        <w:t>（格式自定）</w:t>
      </w:r>
      <w:r>
        <w:tab/>
      </w:r>
      <w:r>
        <w:fldChar w:fldCharType="begin"/>
      </w:r>
      <w:r>
        <w:instrText xml:space="preserve"> PAGEREF _Toc12289 </w:instrText>
      </w:r>
      <w:r>
        <w:fldChar w:fldCharType="separate"/>
      </w:r>
      <w:r>
        <w:t>18</w:t>
      </w:r>
      <w:r>
        <w:fldChar w:fldCharType="end"/>
      </w:r>
      <w:r>
        <w:fldChar w:fldCharType="end"/>
      </w:r>
    </w:p>
    <w:p>
      <w:pPr>
        <w:pStyle w:val="18"/>
        <w:tabs>
          <w:tab w:val="right" w:leader="dot" w:pos="9248"/>
        </w:tabs>
        <w:rPr>
          <w:rStyle w:val="27"/>
          <w:rFonts w:ascii="华文细黑" w:hAnsi="华文细黑" w:eastAsia="华文细黑" w:cs="华文细黑"/>
          <w:caps w:val="0"/>
          <w:smallCaps/>
          <w:sz w:val="24"/>
          <w:szCs w:val="24"/>
        </w:rPr>
      </w:pPr>
      <w:r>
        <w:rPr>
          <w:rFonts w:hint="eastAsia" w:ascii="华文细黑" w:hAnsi="华文细黑" w:eastAsia="华文细黑" w:cs="华文细黑"/>
          <w:szCs w:val="24"/>
        </w:rPr>
        <w:fldChar w:fldCharType="end"/>
      </w:r>
      <w:bookmarkStart w:id="2" w:name="_Toc246305537"/>
      <w:bookmarkStart w:id="3" w:name="_Toc246395347"/>
    </w:p>
    <w:p>
      <w:pPr>
        <w:rPr>
          <w:rFonts w:ascii="华文细黑" w:hAnsi="华文细黑" w:eastAsia="华文细黑" w:cs="华文细黑"/>
          <w:sz w:val="24"/>
          <w:szCs w:val="24"/>
        </w:rPr>
      </w:pPr>
    </w:p>
    <w:p>
      <w:pPr>
        <w:rPr>
          <w:rFonts w:ascii="华文细黑" w:hAnsi="华文细黑" w:eastAsia="华文细黑" w:cs="华文细黑"/>
          <w:sz w:val="24"/>
          <w:szCs w:val="24"/>
        </w:rPr>
      </w:pPr>
    </w:p>
    <w:p/>
    <w:p/>
    <w:p/>
    <w:p/>
    <w:p/>
    <w:p>
      <w:pPr>
        <w:spacing w:line="480" w:lineRule="exact"/>
        <w:jc w:val="center"/>
        <w:outlineLvl w:val="0"/>
        <w:rPr>
          <w:rFonts w:ascii="华文细黑" w:hAnsi="华文细黑" w:eastAsia="华文细黑"/>
          <w:b/>
          <w:bCs/>
          <w:sz w:val="30"/>
          <w:szCs w:val="30"/>
        </w:rPr>
      </w:pPr>
      <w:r>
        <w:rPr>
          <w:rFonts w:ascii="华文细黑" w:hAnsi="华文细黑" w:eastAsia="华文细黑"/>
          <w:b/>
          <w:bCs/>
          <w:sz w:val="30"/>
          <w:szCs w:val="30"/>
        </w:rPr>
        <w:tab/>
      </w:r>
      <w:bookmarkStart w:id="4" w:name="_Toc31331"/>
      <w:r>
        <w:rPr>
          <w:rFonts w:hint="eastAsia" w:ascii="华文细黑" w:hAnsi="华文细黑" w:eastAsia="华文细黑" w:cs="华文细黑"/>
          <w:b/>
          <w:bCs/>
          <w:sz w:val="30"/>
          <w:szCs w:val="30"/>
        </w:rPr>
        <w:t>第一篇　询价采购项目书</w:t>
      </w:r>
      <w:bookmarkEnd w:id="0"/>
      <w:bookmarkEnd w:id="1"/>
      <w:bookmarkEnd w:id="2"/>
      <w:bookmarkEnd w:id="3"/>
      <w:bookmarkEnd w:id="4"/>
    </w:p>
    <w:p>
      <w:pPr>
        <w:snapToGrid w:val="0"/>
        <w:spacing w:line="480" w:lineRule="exact"/>
        <w:ind w:firstLine="480" w:firstLineChars="200"/>
        <w:rPr>
          <w:rStyle w:val="35"/>
          <w:rFonts w:ascii="华文细黑" w:hAnsi="华文细黑" w:eastAsia="华文细黑" w:cs="Times New Roman"/>
          <w:sz w:val="24"/>
          <w:szCs w:val="24"/>
        </w:rPr>
      </w:pPr>
    </w:p>
    <w:p>
      <w:pPr>
        <w:snapToGrid w:val="0"/>
        <w:spacing w:line="48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四川外国语大学按照采购计划，对教技中心机房蓄电池项目进行询价采购，欢迎具有相应资质能力的供应商积极参与。</w:t>
      </w:r>
    </w:p>
    <w:tbl>
      <w:tblPr>
        <w:tblStyle w:val="29"/>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167"/>
        <w:gridCol w:w="1498"/>
        <w:gridCol w:w="144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95" w:type="dxa"/>
            <w:vAlign w:val="center"/>
          </w:tcPr>
          <w:p>
            <w:pPr>
              <w:widowControl/>
              <w:spacing w:line="480" w:lineRule="exact"/>
              <w:jc w:val="center"/>
              <w:rPr>
                <w:rStyle w:val="35"/>
                <w:rFonts w:ascii="华文细黑" w:hAnsi="华文细黑" w:eastAsia="华文细黑" w:cs="Times New Roman"/>
                <w:sz w:val="24"/>
                <w:szCs w:val="24"/>
              </w:rPr>
            </w:pPr>
            <w:bookmarkStart w:id="5" w:name="_Toc246305538"/>
            <w:bookmarkStart w:id="6" w:name="_Toc246395348"/>
            <w:r>
              <w:rPr>
                <w:rStyle w:val="35"/>
                <w:rFonts w:hint="eastAsia" w:ascii="华文细黑" w:hAnsi="华文细黑" w:eastAsia="华文细黑" w:cs="华文细黑"/>
                <w:sz w:val="24"/>
                <w:szCs w:val="24"/>
              </w:rPr>
              <w:t>分包号</w:t>
            </w:r>
          </w:p>
        </w:tc>
        <w:tc>
          <w:tcPr>
            <w:tcW w:w="3167" w:type="dxa"/>
            <w:vAlign w:val="center"/>
          </w:tcPr>
          <w:p>
            <w:pPr>
              <w:widowControl/>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分包名称</w:t>
            </w:r>
          </w:p>
        </w:tc>
        <w:tc>
          <w:tcPr>
            <w:tcW w:w="1498" w:type="dxa"/>
            <w:vAlign w:val="center"/>
          </w:tcPr>
          <w:p>
            <w:pPr>
              <w:widowControl/>
              <w:spacing w:line="480" w:lineRule="exact"/>
              <w:ind w:firstLine="120" w:firstLineChars="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最高限价</w:t>
            </w:r>
          </w:p>
          <w:p>
            <w:pPr>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（万元）</w:t>
            </w:r>
          </w:p>
        </w:tc>
        <w:tc>
          <w:tcPr>
            <w:tcW w:w="1440" w:type="dxa"/>
            <w:vAlign w:val="center"/>
          </w:tcPr>
          <w:p>
            <w:pPr>
              <w:widowControl/>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保证金</w:t>
            </w:r>
          </w:p>
          <w:p>
            <w:pPr>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（万元）</w:t>
            </w:r>
          </w:p>
        </w:tc>
        <w:tc>
          <w:tcPr>
            <w:tcW w:w="1624" w:type="dxa"/>
            <w:vAlign w:val="center"/>
          </w:tcPr>
          <w:p>
            <w:pPr>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95" w:type="dxa"/>
            <w:vAlign w:val="center"/>
          </w:tcPr>
          <w:p>
            <w:pPr>
              <w:widowControl/>
              <w:spacing w:line="480" w:lineRule="exact"/>
              <w:jc w:val="center"/>
              <w:rPr>
                <w:rStyle w:val="35"/>
                <w:rFonts w:ascii="华文细黑" w:hAnsi="华文细黑" w:eastAsia="华文细黑" w:cs="Times New Roman"/>
                <w:sz w:val="24"/>
                <w:szCs w:val="24"/>
              </w:rPr>
            </w:pPr>
            <w:bookmarkStart w:id="7" w:name="_Hlk344477914"/>
            <w:r>
              <w:rPr>
                <w:rStyle w:val="35"/>
                <w:rFonts w:ascii="华文细黑" w:hAnsi="华文细黑" w:eastAsia="华文细黑" w:cs="华文细黑"/>
                <w:sz w:val="24"/>
                <w:szCs w:val="24"/>
              </w:rPr>
              <w:t>1</w:t>
            </w:r>
          </w:p>
        </w:tc>
        <w:tc>
          <w:tcPr>
            <w:tcW w:w="3167" w:type="dxa"/>
            <w:vAlign w:val="center"/>
          </w:tcPr>
          <w:p>
            <w:pPr>
              <w:widowControl/>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机房蓄电池</w:t>
            </w:r>
          </w:p>
        </w:tc>
        <w:tc>
          <w:tcPr>
            <w:tcW w:w="1498" w:type="dxa"/>
            <w:vAlign w:val="center"/>
          </w:tcPr>
          <w:p>
            <w:pPr>
              <w:widowControl/>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18.43</w:t>
            </w:r>
          </w:p>
        </w:tc>
        <w:tc>
          <w:tcPr>
            <w:tcW w:w="1440" w:type="dxa"/>
            <w:vAlign w:val="center"/>
          </w:tcPr>
          <w:p>
            <w:pPr>
              <w:widowControl/>
              <w:spacing w:line="480" w:lineRule="exact"/>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0.36</w:t>
            </w:r>
          </w:p>
        </w:tc>
        <w:tc>
          <w:tcPr>
            <w:tcW w:w="1624" w:type="dxa"/>
            <w:vAlign w:val="center"/>
          </w:tcPr>
          <w:p>
            <w:pPr>
              <w:spacing w:line="480" w:lineRule="exact"/>
              <w:jc w:val="center"/>
              <w:rPr>
                <w:rStyle w:val="35"/>
                <w:rFonts w:ascii="华文细黑" w:hAnsi="华文细黑" w:eastAsia="华文细黑" w:cs="Times New Roman"/>
                <w:sz w:val="24"/>
                <w:szCs w:val="24"/>
              </w:rPr>
            </w:pPr>
          </w:p>
        </w:tc>
      </w:tr>
      <w:bookmarkEnd w:id="7"/>
    </w:tbl>
    <w:p>
      <w:pPr>
        <w:snapToGrid w:val="0"/>
        <w:spacing w:line="480" w:lineRule="exact"/>
        <w:outlineLvl w:val="1"/>
        <w:rPr>
          <w:rFonts w:ascii="华文细黑" w:hAnsi="华文细黑" w:eastAsia="华文细黑"/>
          <w:sz w:val="24"/>
          <w:szCs w:val="24"/>
        </w:rPr>
      </w:pPr>
      <w:bookmarkStart w:id="8" w:name="_Toc9101"/>
      <w:r>
        <w:rPr>
          <w:rFonts w:hint="eastAsia" w:ascii="华文细黑" w:hAnsi="华文细黑" w:eastAsia="华文细黑" w:cs="华文细黑"/>
          <w:b/>
          <w:bCs/>
        </w:rPr>
        <w:t>一、询价采购时间、地点</w:t>
      </w:r>
      <w:bookmarkEnd w:id="5"/>
      <w:bookmarkEnd w:id="6"/>
      <w:bookmarkEnd w:id="8"/>
    </w:p>
    <w:p>
      <w:pPr>
        <w:spacing w:line="480" w:lineRule="exact"/>
        <w:ind w:firstLine="480" w:firstLineChars="200"/>
        <w:rPr>
          <w:rStyle w:val="35"/>
          <w:rFonts w:ascii="华文细黑" w:hAnsi="华文细黑" w:eastAsia="华文细黑" w:cs="华文细黑"/>
          <w:color w:val="000000"/>
          <w:sz w:val="24"/>
          <w:szCs w:val="24"/>
        </w:rPr>
      </w:pPr>
      <w:bookmarkStart w:id="9" w:name="_Toc11641053"/>
      <w:bookmarkStart w:id="10" w:name="_Toc246395349"/>
      <w:bookmarkStart w:id="11" w:name="_Toc246305539"/>
      <w:bookmarkStart w:id="12" w:name="_Toc223847743"/>
      <w:bookmarkStart w:id="13" w:name="_Toc25725120"/>
      <w:r>
        <w:rPr>
          <w:rStyle w:val="35"/>
          <w:rFonts w:hint="eastAsia" w:ascii="华文细黑" w:hAnsi="华文细黑" w:eastAsia="华文细黑" w:cs="华文细黑"/>
          <w:color w:val="000000"/>
          <w:sz w:val="24"/>
          <w:szCs w:val="24"/>
        </w:rPr>
        <w:t>项目名称：机房蓄电池</w:t>
      </w:r>
    </w:p>
    <w:p>
      <w:pPr>
        <w:spacing w:line="480" w:lineRule="exact"/>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采购执行单号：</w:t>
      </w:r>
      <w:r>
        <w:rPr>
          <w:rFonts w:hint="eastAsia" w:ascii="华文细黑" w:hAnsi="华文细黑" w:eastAsia="华文细黑" w:cs="华文细黑"/>
          <w:color w:val="000000"/>
          <w:sz w:val="24"/>
          <w:szCs w:val="24"/>
        </w:rPr>
        <w:t>H2017048</w:t>
      </w:r>
    </w:p>
    <w:p>
      <w:pPr>
        <w:snapToGrid w:val="0"/>
        <w:spacing w:line="480" w:lineRule="exact"/>
        <w:rPr>
          <w:rStyle w:val="35"/>
          <w:rFonts w:ascii="华文细黑" w:hAnsi="华文细黑" w:eastAsia="华文细黑" w:cs="Times New Roman"/>
          <w:sz w:val="24"/>
          <w:szCs w:val="24"/>
        </w:rPr>
      </w:pPr>
      <w:r>
        <w:rPr>
          <w:rStyle w:val="35"/>
          <w:rFonts w:hint="eastAsia" w:ascii="华文细黑" w:hAnsi="华文细黑" w:eastAsia="华文细黑" w:cs="华文细黑"/>
          <w:color w:val="000000"/>
          <w:sz w:val="24"/>
          <w:szCs w:val="24"/>
        </w:rPr>
        <w:t xml:space="preserve">    采购方式：</w:t>
      </w:r>
      <w:r>
        <w:rPr>
          <w:rStyle w:val="35"/>
          <w:rFonts w:hint="eastAsia" w:ascii="华文细黑" w:hAnsi="华文细黑" w:eastAsia="华文细黑" w:cs="华文细黑"/>
          <w:sz w:val="24"/>
          <w:szCs w:val="24"/>
        </w:rPr>
        <w:t>询价采购</w:t>
      </w:r>
    </w:p>
    <w:p>
      <w:pPr>
        <w:shd w:val="clear" w:color="auto" w:fill="FFFFFF"/>
        <w:spacing w:line="48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采购文件售价（元）：2</w:t>
      </w:r>
      <w:r>
        <w:rPr>
          <w:rStyle w:val="35"/>
          <w:rFonts w:ascii="华文细黑" w:hAnsi="华文细黑" w:eastAsia="华文细黑" w:cs="华文细黑"/>
          <w:sz w:val="24"/>
          <w:szCs w:val="24"/>
        </w:rPr>
        <w:t>00.00/</w:t>
      </w:r>
      <w:r>
        <w:rPr>
          <w:rStyle w:val="35"/>
          <w:rFonts w:hint="eastAsia" w:ascii="华文细黑" w:hAnsi="华文细黑" w:eastAsia="华文细黑" w:cs="华文细黑"/>
          <w:sz w:val="24"/>
          <w:szCs w:val="24"/>
        </w:rPr>
        <w:t>包；（售后不退）</w:t>
      </w:r>
    </w:p>
    <w:p>
      <w:pPr>
        <w:shd w:val="clear" w:color="auto" w:fill="FFFFFF"/>
        <w:spacing w:line="48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投标保证金：（元）：</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36</w:t>
      </w:r>
      <w:r>
        <w:rPr>
          <w:rStyle w:val="35"/>
          <w:rFonts w:ascii="华文细黑" w:hAnsi="华文细黑" w:eastAsia="华文细黑" w:cs="华文细黑"/>
          <w:sz w:val="24"/>
          <w:szCs w:val="24"/>
        </w:rPr>
        <w:t>00.00/</w:t>
      </w:r>
      <w:r>
        <w:rPr>
          <w:rStyle w:val="35"/>
          <w:rFonts w:hint="eastAsia" w:ascii="华文细黑" w:hAnsi="华文细黑" w:eastAsia="华文细黑" w:cs="华文细黑"/>
          <w:sz w:val="24"/>
          <w:szCs w:val="24"/>
        </w:rPr>
        <w:t>包</w:t>
      </w:r>
    </w:p>
    <w:p>
      <w:pPr>
        <w:spacing w:line="480" w:lineRule="exact"/>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报名起止时间：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hint="eastAsia" w:ascii="华文细黑" w:hAnsi="华文细黑" w:eastAsia="华文细黑" w:cs="华文细黑"/>
          <w:sz w:val="24"/>
          <w:szCs w:val="24"/>
          <w:lang w:val="en-US" w:eastAsia="zh-CN"/>
        </w:rPr>
        <w:t>7</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10</w:t>
      </w:r>
      <w:r>
        <w:rPr>
          <w:rStyle w:val="35"/>
          <w:rFonts w:hint="eastAsia" w:ascii="华文细黑" w:hAnsi="华文细黑" w:eastAsia="华文细黑" w:cs="华文细黑"/>
          <w:sz w:val="24"/>
          <w:szCs w:val="24"/>
        </w:rPr>
        <w:t>日-</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11</w:t>
      </w:r>
      <w:r>
        <w:rPr>
          <w:rStyle w:val="35"/>
          <w:rFonts w:hint="eastAsia" w:ascii="华文细黑" w:hAnsi="华文细黑" w:eastAsia="华文细黑" w:cs="华文细黑"/>
          <w:sz w:val="24"/>
          <w:szCs w:val="24"/>
        </w:rPr>
        <w:t>日北京时间上午</w:t>
      </w:r>
      <w:r>
        <w:rPr>
          <w:rStyle w:val="35"/>
          <w:rFonts w:ascii="华文细黑" w:hAnsi="华文细黑" w:eastAsia="华文细黑" w:cs="华文细黑"/>
          <w:sz w:val="24"/>
          <w:szCs w:val="24"/>
        </w:rPr>
        <w:t>09:00—11:00</w:t>
      </w:r>
      <w:r>
        <w:rPr>
          <w:rStyle w:val="35"/>
          <w:rFonts w:hint="eastAsia" w:ascii="华文细黑" w:hAnsi="华文细黑" w:eastAsia="华文细黑" w:cs="华文细黑"/>
          <w:sz w:val="24"/>
          <w:szCs w:val="24"/>
        </w:rPr>
        <w:t>下午</w:t>
      </w:r>
      <w:r>
        <w:rPr>
          <w:rStyle w:val="35"/>
          <w:rFonts w:ascii="华文细黑" w:hAnsi="华文细黑" w:eastAsia="华文细黑" w:cs="华文细黑"/>
          <w:sz w:val="24"/>
          <w:szCs w:val="24"/>
        </w:rPr>
        <w:t xml:space="preserve">15:00—17:00  </w:t>
      </w:r>
    </w:p>
    <w:p>
      <w:pPr>
        <w:spacing w:line="480" w:lineRule="exact"/>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文本费及投标保证金缴纳时间：</w:t>
      </w:r>
      <w:r>
        <w:rPr>
          <w:rStyle w:val="35"/>
          <w:rFonts w:ascii="华文细黑" w:hAnsi="华文细黑" w:eastAsia="华文细黑" w:cs="华文细黑"/>
          <w:sz w:val="24"/>
          <w:szCs w:val="24"/>
        </w:rPr>
        <w:t>201</w:t>
      </w:r>
      <w:r>
        <w:rPr>
          <w:rStyle w:val="35"/>
          <w:rFonts w:hint="eastAsia" w:ascii="华文细黑" w:hAnsi="华文细黑" w:eastAsia="华文细黑" w:cs="华文细黑"/>
          <w:sz w:val="24"/>
          <w:szCs w:val="24"/>
        </w:rPr>
        <w:t>7年</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10</w:t>
      </w:r>
      <w:r>
        <w:rPr>
          <w:rStyle w:val="35"/>
          <w:rFonts w:hint="eastAsia" w:ascii="华文细黑" w:hAnsi="华文细黑" w:eastAsia="华文细黑" w:cs="华文细黑"/>
          <w:sz w:val="24"/>
          <w:szCs w:val="24"/>
        </w:rPr>
        <w:t>日</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11</w:t>
      </w:r>
      <w:r>
        <w:rPr>
          <w:rStyle w:val="35"/>
          <w:rFonts w:hint="eastAsia" w:ascii="华文细黑" w:hAnsi="华文细黑" w:eastAsia="华文细黑" w:cs="华文细黑"/>
          <w:sz w:val="24"/>
          <w:szCs w:val="24"/>
        </w:rPr>
        <w:t>日</w:t>
      </w:r>
      <w:bookmarkStart w:id="139" w:name="_GoBack"/>
      <w:bookmarkEnd w:id="139"/>
    </w:p>
    <w:p>
      <w:pPr>
        <w:spacing w:line="480" w:lineRule="exact"/>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报名方式：</w:t>
      </w:r>
      <w:r>
        <w:rPr>
          <w:rFonts w:hint="eastAsia" w:ascii="华文细黑" w:hAnsi="华文细黑" w:eastAsia="华文细黑" w:cs="华文细黑"/>
          <w:sz w:val="24"/>
          <w:szCs w:val="24"/>
        </w:rPr>
        <w:t>规定报名时间内到四川外国语大学招投标采购办公室（资产楼3-6）报名；</w:t>
      </w:r>
    </w:p>
    <w:p>
      <w:pPr>
        <w:spacing w:line="480" w:lineRule="exact"/>
        <w:ind w:firstLine="480" w:firstLineChars="200"/>
        <w:rPr>
          <w:rStyle w:val="35"/>
          <w:rFonts w:ascii="华文细黑" w:hAnsi="华文细黑" w:eastAsia="华文细黑" w:cs="华文细黑"/>
          <w:sz w:val="24"/>
          <w:szCs w:val="24"/>
        </w:rPr>
      </w:pPr>
      <w:r>
        <w:rPr>
          <w:rStyle w:val="35"/>
          <w:rFonts w:hint="eastAsia" w:ascii="华文细黑" w:hAnsi="华文细黑" w:eastAsia="华文细黑" w:cs="华文细黑"/>
          <w:sz w:val="24"/>
          <w:szCs w:val="24"/>
        </w:rPr>
        <w:t>获取文件方式：凡有意参加投标的供应商，请在四川外国语大学校园网（www.sisu.edu.cn）上下载本项目谈判文件以及图纸（如果有）、补遗（如果有）等开标前公布的所有项目资料，无论投标人下载与否，均视为已知晓所有招标内容。</w:t>
      </w:r>
    </w:p>
    <w:p>
      <w:pPr>
        <w:spacing w:line="480" w:lineRule="exact"/>
        <w:ind w:left="2162" w:leftChars="172" w:hanging="1680" w:hangingChars="7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文件递交起止时间：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13</w:t>
      </w:r>
      <w:r>
        <w:rPr>
          <w:rStyle w:val="35"/>
          <w:rFonts w:hint="eastAsia" w:ascii="华文细黑" w:hAnsi="华文细黑" w:eastAsia="华文细黑" w:cs="华文细黑"/>
          <w:sz w:val="24"/>
          <w:szCs w:val="24"/>
        </w:rPr>
        <w:t>日北京时间1</w:t>
      </w:r>
      <w:r>
        <w:rPr>
          <w:rStyle w:val="35"/>
          <w:rFonts w:hint="eastAsia" w:ascii="华文细黑" w:hAnsi="华文细黑" w:eastAsia="华文细黑" w:cs="华文细黑"/>
          <w:sz w:val="24"/>
          <w:szCs w:val="24"/>
          <w:lang w:val="en-US" w:eastAsia="zh-CN"/>
        </w:rPr>
        <w:t>0</w:t>
      </w:r>
      <w:r>
        <w:rPr>
          <w:rStyle w:val="35"/>
          <w:rFonts w:ascii="华文细黑" w:hAnsi="华文细黑" w:eastAsia="华文细黑" w:cs="华文细黑"/>
          <w:sz w:val="24"/>
          <w:szCs w:val="24"/>
        </w:rPr>
        <w:t>:00—1</w:t>
      </w:r>
      <w:r>
        <w:rPr>
          <w:rStyle w:val="35"/>
          <w:rFonts w:hint="eastAsia" w:ascii="华文细黑" w:hAnsi="华文细黑" w:eastAsia="华文细黑" w:cs="华文细黑"/>
          <w:sz w:val="24"/>
          <w:szCs w:val="24"/>
          <w:lang w:val="en-US" w:eastAsia="zh-CN"/>
        </w:rPr>
        <w:t>0</w:t>
      </w:r>
      <w:r>
        <w:rPr>
          <w:rStyle w:val="35"/>
          <w:rFonts w:ascii="华文细黑" w:hAnsi="华文细黑" w:eastAsia="华文细黑" w:cs="华文细黑"/>
          <w:sz w:val="24"/>
          <w:szCs w:val="24"/>
        </w:rPr>
        <w:t>:30</w:t>
      </w:r>
    </w:p>
    <w:p>
      <w:pPr>
        <w:spacing w:line="48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开标时间：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13</w:t>
      </w:r>
      <w:r>
        <w:rPr>
          <w:rStyle w:val="35"/>
          <w:rFonts w:hint="eastAsia" w:ascii="华文细黑" w:hAnsi="华文细黑" w:eastAsia="华文细黑" w:cs="华文细黑"/>
          <w:sz w:val="24"/>
          <w:szCs w:val="24"/>
        </w:rPr>
        <w:t>日北京时间</w:t>
      </w: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lang w:val="en-US" w:eastAsia="zh-CN"/>
        </w:rPr>
        <w:t>0</w:t>
      </w:r>
      <w:r>
        <w:rPr>
          <w:rStyle w:val="35"/>
          <w:rFonts w:ascii="华文细黑" w:hAnsi="华文细黑" w:eastAsia="华文细黑" w:cs="华文细黑"/>
          <w:sz w:val="24"/>
          <w:szCs w:val="24"/>
        </w:rPr>
        <w:t>:30</w:t>
      </w:r>
    </w:p>
    <w:p>
      <w:pPr>
        <w:spacing w:line="480" w:lineRule="exact"/>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文件递交及开标地址：四川外国语大学招投标会议室（资产楼3楼）</w:t>
      </w:r>
    </w:p>
    <w:p>
      <w:pPr>
        <w:spacing w:line="480" w:lineRule="exact"/>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采购人名称：四川外国语大学</w:t>
      </w:r>
    </w:p>
    <w:p>
      <w:pPr>
        <w:spacing w:line="480" w:lineRule="exact"/>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采购人地址：重庆市沙坪坝区壮志路</w:t>
      </w:r>
      <w:r>
        <w:rPr>
          <w:rStyle w:val="35"/>
          <w:rFonts w:ascii="华文细黑" w:hAnsi="华文细黑" w:eastAsia="华文细黑" w:cs="华文细黑"/>
          <w:color w:val="000000"/>
          <w:sz w:val="24"/>
          <w:szCs w:val="24"/>
        </w:rPr>
        <w:t>33</w:t>
      </w:r>
      <w:r>
        <w:rPr>
          <w:rStyle w:val="35"/>
          <w:rFonts w:hint="eastAsia" w:ascii="华文细黑" w:hAnsi="华文细黑" w:eastAsia="华文细黑" w:cs="华文细黑"/>
          <w:color w:val="000000"/>
          <w:sz w:val="24"/>
          <w:szCs w:val="24"/>
        </w:rPr>
        <w:t>号</w:t>
      </w:r>
    </w:p>
    <w:p>
      <w:pPr>
        <w:spacing w:line="480" w:lineRule="exact"/>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联系人：张老师</w:t>
      </w:r>
    </w:p>
    <w:p>
      <w:pPr>
        <w:spacing w:line="480" w:lineRule="exact"/>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联系电话：</w:t>
      </w:r>
      <w:r>
        <w:rPr>
          <w:rStyle w:val="35"/>
          <w:rFonts w:ascii="华文细黑" w:hAnsi="华文细黑" w:eastAsia="华文细黑" w:cs="华文细黑"/>
          <w:color w:val="000000"/>
          <w:sz w:val="24"/>
          <w:szCs w:val="24"/>
        </w:rPr>
        <w:t>65385008</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供应商须满足以下条件，其响应文件才被接受：</w:t>
      </w:r>
    </w:p>
    <w:p>
      <w:pPr>
        <w:spacing w:line="480" w:lineRule="exact"/>
        <w:ind w:firstLine="720" w:firstLineChars="3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、按时递交了响应文件；</w:t>
      </w:r>
    </w:p>
    <w:p>
      <w:pPr>
        <w:spacing w:line="480" w:lineRule="exact"/>
        <w:ind w:firstLine="720" w:firstLineChars="3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、按时报名、签到；</w:t>
      </w:r>
    </w:p>
    <w:p>
      <w:pPr>
        <w:spacing w:line="480" w:lineRule="exact"/>
        <w:ind w:firstLine="720" w:firstLineChars="3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、按时缴纳了文本费及投标保证金；</w:t>
      </w:r>
    </w:p>
    <w:p>
      <w:pPr>
        <w:spacing w:line="380" w:lineRule="exact"/>
        <w:ind w:firstLine="720" w:firstLineChars="300"/>
        <w:rPr>
          <w:rFonts w:ascii="华文细黑" w:hAnsi="华文细黑" w:eastAsia="华文细黑"/>
          <w:sz w:val="24"/>
          <w:szCs w:val="24"/>
        </w:rPr>
      </w:pPr>
    </w:p>
    <w:p>
      <w:pPr>
        <w:snapToGrid w:val="0"/>
        <w:spacing w:line="360" w:lineRule="auto"/>
        <w:outlineLvl w:val="1"/>
        <w:rPr>
          <w:rFonts w:ascii="华文细黑" w:hAnsi="华文细黑" w:eastAsia="华文细黑"/>
          <w:b/>
          <w:bCs/>
        </w:rPr>
      </w:pPr>
      <w:bookmarkStart w:id="14" w:name="_Toc13453"/>
      <w:r>
        <w:rPr>
          <w:rFonts w:hint="eastAsia" w:ascii="华文细黑" w:hAnsi="华文细黑" w:eastAsia="华文细黑" w:cs="华文细黑"/>
          <w:b/>
          <w:bCs/>
        </w:rPr>
        <w:t>二、有关</w:t>
      </w:r>
      <w:bookmarkEnd w:id="9"/>
      <w:r>
        <w:rPr>
          <w:rFonts w:hint="eastAsia" w:ascii="华文细黑" w:hAnsi="华文细黑" w:eastAsia="华文细黑" w:cs="华文细黑"/>
          <w:b/>
          <w:bCs/>
        </w:rPr>
        <w:t>规定</w:t>
      </w:r>
      <w:bookmarkEnd w:id="10"/>
      <w:bookmarkEnd w:id="11"/>
      <w:bookmarkEnd w:id="12"/>
      <w:bookmarkEnd w:id="13"/>
      <w:bookmarkEnd w:id="14"/>
    </w:p>
    <w:p>
      <w:pPr>
        <w:topLinePunct/>
        <w:snapToGrid w:val="0"/>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（一）一般资格条件</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1</w:t>
      </w:r>
      <w:r>
        <w:rPr>
          <w:rFonts w:hint="eastAsia" w:ascii="华文细黑" w:hAnsi="华文细黑" w:eastAsia="华文细黑" w:cs="华文细黑"/>
          <w:sz w:val="24"/>
          <w:szCs w:val="24"/>
        </w:rPr>
        <w:t>）具有独立承担民事责任的能力；（提供营业执照副本、组织机构机构代码复印件并加盖单位鲜章以及法定代表人身份证明书、法定代表人授权委托书）</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2</w:t>
      </w:r>
      <w:r>
        <w:rPr>
          <w:rFonts w:hint="eastAsia" w:ascii="华文细黑" w:hAnsi="华文细黑" w:eastAsia="华文细黑" w:cs="华文细黑"/>
          <w:sz w:val="24"/>
          <w:szCs w:val="24"/>
        </w:rPr>
        <w:t>）具有良好的商业信誉和健全的财务会计制度；（提供最近一年度财务报表的复印件并加盖单位鲜章）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3</w:t>
      </w:r>
      <w:r>
        <w:rPr>
          <w:rFonts w:hint="eastAsia" w:ascii="华文细黑" w:hAnsi="华文细黑" w:eastAsia="华文细黑" w:cs="华文细黑"/>
          <w:sz w:val="24"/>
          <w:szCs w:val="24"/>
        </w:rPr>
        <w:t>）具有履行合同所必需的设备和专业技术能力；（提供售后服务机构、服务能力证明材料并加盖单位鲜章，格式自定）；</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4</w:t>
      </w:r>
      <w:r>
        <w:rPr>
          <w:rFonts w:hint="eastAsia" w:ascii="华文细黑" w:hAnsi="华文细黑" w:eastAsia="华文细黑" w:cs="华文细黑"/>
          <w:sz w:val="24"/>
          <w:szCs w:val="24"/>
        </w:rPr>
        <w:t>）有依法缴纳税收和社会保障资金的良好记录；（提供近三个月的缴税记录、单位社会保险缴纳证明材料及授权代表在本单位社会保险缴纳证明材料并加盖单位鲜章）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5</w:t>
      </w:r>
      <w:r>
        <w:rPr>
          <w:rFonts w:hint="eastAsia" w:ascii="华文细黑" w:hAnsi="华文细黑" w:eastAsia="华文细黑" w:cs="华文细黑"/>
          <w:sz w:val="24"/>
          <w:szCs w:val="24"/>
        </w:rPr>
        <w:t>）参加政府采购活动前三年内，在经营活动中没有重大违法记录；（提供诚信声明并加盖单位鲜章）</w:t>
      </w:r>
    </w:p>
    <w:p>
      <w:pPr>
        <w:spacing w:line="48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（6）法律、行政法规规定的其他条件。</w:t>
      </w:r>
    </w:p>
    <w:p>
      <w:pPr>
        <w:spacing w:line="480" w:lineRule="exact"/>
        <w:ind w:firstLine="480" w:firstLineChars="200"/>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（二）特定资格条件</w:t>
      </w:r>
    </w:p>
    <w:p>
      <w:pPr>
        <w:spacing w:line="480" w:lineRule="exact"/>
        <w:ind w:firstLine="480" w:firstLineChars="200"/>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eastAsia="zh-CN"/>
        </w:rPr>
        <w:t>无。</w:t>
      </w:r>
    </w:p>
    <w:p>
      <w:pPr>
        <w:snapToGrid w:val="0"/>
        <w:spacing w:line="500" w:lineRule="exact"/>
        <w:ind w:left="538" w:leftChars="192" w:firstLine="33"/>
        <w:rPr>
          <w:rFonts w:ascii="华文细黑" w:hAnsi="华文细黑" w:eastAsia="华文细黑"/>
          <w:b/>
          <w:bCs/>
          <w:color w:val="000000"/>
        </w:rPr>
      </w:pPr>
      <w:r>
        <w:rPr>
          <w:rFonts w:hint="eastAsia" w:ascii="华文细黑" w:hAnsi="华文细黑" w:eastAsia="华文细黑" w:cs="华文细黑"/>
          <w:b/>
          <w:bCs/>
          <w:color w:val="000000"/>
          <w:sz w:val="24"/>
          <w:szCs w:val="24"/>
        </w:rPr>
        <w:t>注：投标文件中的报价文件必须单独装袋密封，报价文件不按规定单独密封的投标恕不接受。</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2</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报价文件必须按规定的时间及地点送达我指定地点，并按要求交纳询价采购保证金，否则报价无效。</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3</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报价文件的报价为闭口价，并且供应商只能提供一个报价且不得高于最高限价。</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4</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5</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招标人所作的一切有效的书面通知、修改及补充，都是询件文件不可分割的部分。</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6、询价采购投标文件应按照本文件的“第五篇格式要求”装订。</w:t>
      </w:r>
      <w:r>
        <w:rPr>
          <w:rStyle w:val="35"/>
          <w:rFonts w:hint="eastAsia" w:ascii="华文细黑" w:hAnsi="华文细黑" w:eastAsia="华文细黑" w:cs="华文细黑"/>
          <w:b/>
          <w:bCs/>
          <w:sz w:val="24"/>
          <w:szCs w:val="24"/>
        </w:rPr>
        <w:t>投标文件一正两副。并在每一份投标文件右上角注明“正本”或“副本”字样，如</w:t>
      </w:r>
      <w:r>
        <w:rPr>
          <w:rStyle w:val="35"/>
          <w:rFonts w:hint="eastAsia" w:ascii="华文细黑" w:hAnsi="华文细黑" w:eastAsia="华文细黑" w:cs="华文细黑"/>
          <w:sz w:val="24"/>
          <w:szCs w:val="24"/>
        </w:rPr>
        <w:t>正本和副本有差异，以正本为准。询价文件必须是打印件，且必须按顺序编写页码。</w:t>
      </w:r>
    </w:p>
    <w:p>
      <w:pPr>
        <w:spacing w:line="360" w:lineRule="auto"/>
        <w:outlineLvl w:val="1"/>
        <w:rPr>
          <w:rFonts w:ascii="华文细黑" w:hAnsi="华文细黑" w:eastAsia="华文细黑"/>
          <w:b/>
          <w:bCs/>
          <w:color w:val="000000"/>
        </w:rPr>
      </w:pPr>
      <w:bookmarkStart w:id="15" w:name="_Toc246305540"/>
      <w:bookmarkStart w:id="16" w:name="_Toc246395350"/>
      <w:bookmarkStart w:id="17" w:name="_Toc122840226"/>
      <w:bookmarkStart w:id="18" w:name="_Toc223847744"/>
      <w:bookmarkStart w:id="19" w:name="_Toc12789055"/>
      <w:bookmarkStart w:id="20" w:name="_Toc9475"/>
      <w:r>
        <w:rPr>
          <w:rFonts w:hint="eastAsia" w:ascii="华文细黑" w:hAnsi="华文细黑" w:eastAsia="华文细黑" w:cs="华文细黑"/>
          <w:b/>
          <w:bCs/>
          <w:color w:val="000000"/>
        </w:rPr>
        <w:t>三、</w:t>
      </w:r>
      <w:bookmarkEnd w:id="15"/>
      <w:bookmarkEnd w:id="16"/>
      <w:bookmarkEnd w:id="17"/>
      <w:bookmarkEnd w:id="18"/>
      <w:bookmarkEnd w:id="19"/>
      <w:r>
        <w:rPr>
          <w:rFonts w:hint="eastAsia" w:ascii="华文细黑" w:hAnsi="华文细黑" w:eastAsia="华文细黑" w:cs="华文细黑"/>
          <w:b/>
          <w:bCs/>
          <w:color w:val="000000"/>
        </w:rPr>
        <w:t>采购文件文本费及保证金缴退说明</w:t>
      </w:r>
      <w:bookmarkEnd w:id="20"/>
    </w:p>
    <w:p>
      <w:pPr>
        <w:snapToGrid w:val="0"/>
        <w:spacing w:line="360" w:lineRule="auto"/>
        <w:ind w:firstLine="480" w:firstLineChars="200"/>
        <w:rPr>
          <w:rFonts w:ascii="华文细黑" w:hAnsi="华文细黑" w:eastAsia="华文细黑"/>
          <w:sz w:val="24"/>
          <w:szCs w:val="24"/>
        </w:rPr>
      </w:pPr>
      <w:bookmarkStart w:id="21" w:name="_Toc122840227"/>
      <w:bookmarkStart w:id="22" w:name="_Toc223847745"/>
      <w:bookmarkStart w:id="23" w:name="_Toc246305541"/>
      <w:bookmarkStart w:id="24" w:name="_Toc246395351"/>
      <w:bookmarkStart w:id="25" w:name="_Toc121925351"/>
      <w:r>
        <w:rPr>
          <w:rFonts w:ascii="华文细黑" w:hAnsi="华文细黑" w:eastAsia="华文细黑" w:cs="华文细黑"/>
          <w:sz w:val="24"/>
          <w:szCs w:val="24"/>
        </w:rPr>
        <w:t>1</w:t>
      </w:r>
      <w:r>
        <w:rPr>
          <w:rFonts w:hint="eastAsia" w:ascii="华文细黑" w:hAnsi="华文细黑" w:eastAsia="华文细黑" w:cs="华文细黑"/>
          <w:sz w:val="24"/>
          <w:szCs w:val="24"/>
        </w:rPr>
        <w:t>．投标人须在招标办现场登记并领取“缴款通知”。</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．投标人须以投标公司基本账户向指定银行缴纳文本费与保证金。</w:t>
      </w:r>
    </w:p>
    <w:p>
      <w:pPr>
        <w:spacing w:line="360" w:lineRule="auto"/>
        <w:ind w:firstLine="1680" w:firstLineChars="700"/>
        <w:outlineLvl w:val="1"/>
        <w:rPr>
          <w:rFonts w:ascii="华文细黑" w:hAnsi="华文细黑" w:eastAsia="华文细黑"/>
          <w:sz w:val="24"/>
          <w:szCs w:val="24"/>
        </w:rPr>
      </w:pPr>
      <w:bookmarkStart w:id="26" w:name="_Toc466967825"/>
      <w:bookmarkStart w:id="27" w:name="_Toc20075"/>
      <w:r>
        <w:rPr>
          <w:rFonts w:hint="eastAsia" w:ascii="华文细黑" w:hAnsi="华文细黑" w:eastAsia="华文细黑" w:cs="华文细黑"/>
          <w:sz w:val="24"/>
          <w:szCs w:val="24"/>
        </w:rPr>
        <w:t>户名：四川外国语大学</w:t>
      </w:r>
      <w:bookmarkEnd w:id="26"/>
      <w:bookmarkEnd w:id="27"/>
    </w:p>
    <w:p>
      <w:pPr>
        <w:spacing w:line="360" w:lineRule="auto"/>
        <w:ind w:firstLine="1680" w:firstLineChars="700"/>
        <w:outlineLvl w:val="1"/>
        <w:rPr>
          <w:rFonts w:ascii="华文细黑" w:hAnsi="华文细黑" w:eastAsia="华文细黑"/>
          <w:sz w:val="24"/>
          <w:szCs w:val="24"/>
        </w:rPr>
      </w:pPr>
      <w:bookmarkStart w:id="28" w:name="_Toc29257"/>
      <w:bookmarkStart w:id="29" w:name="_Toc466967826"/>
      <w:r>
        <w:rPr>
          <w:rFonts w:hint="eastAsia" w:ascii="华文细黑" w:hAnsi="华文细黑" w:eastAsia="华文细黑" w:cs="华文细黑"/>
          <w:sz w:val="24"/>
          <w:szCs w:val="24"/>
        </w:rPr>
        <w:t>开户行：工行重庆分行童家桥支行</w:t>
      </w:r>
      <w:bookmarkEnd w:id="28"/>
      <w:bookmarkEnd w:id="29"/>
    </w:p>
    <w:p>
      <w:pPr>
        <w:spacing w:line="360" w:lineRule="auto"/>
        <w:ind w:firstLine="1680" w:firstLineChars="700"/>
        <w:outlineLvl w:val="1"/>
        <w:rPr>
          <w:rFonts w:ascii="华文细黑" w:hAnsi="华文细黑" w:eastAsia="华文细黑" w:cs="华文细黑"/>
          <w:sz w:val="24"/>
          <w:szCs w:val="24"/>
        </w:rPr>
      </w:pPr>
      <w:bookmarkStart w:id="30" w:name="_Toc466967827"/>
      <w:bookmarkStart w:id="31" w:name="_Toc13602"/>
      <w:r>
        <w:rPr>
          <w:rFonts w:hint="eastAsia" w:ascii="华文细黑" w:hAnsi="华文细黑" w:eastAsia="华文细黑" w:cs="华文细黑"/>
          <w:sz w:val="24"/>
          <w:szCs w:val="24"/>
        </w:rPr>
        <w:t>帐号：</w:t>
      </w:r>
      <w:r>
        <w:rPr>
          <w:rFonts w:ascii="华文细黑" w:hAnsi="华文细黑" w:eastAsia="华文细黑" w:cs="华文细黑"/>
          <w:sz w:val="24"/>
          <w:szCs w:val="24"/>
        </w:rPr>
        <w:t>3100024609026402214</w:t>
      </w:r>
      <w:bookmarkEnd w:id="30"/>
      <w:bookmarkEnd w:id="31"/>
    </w:p>
    <w:p>
      <w:pPr>
        <w:spacing w:line="360" w:lineRule="auto"/>
        <w:ind w:firstLine="1680" w:firstLineChars="700"/>
        <w:outlineLvl w:val="1"/>
        <w:rPr>
          <w:rFonts w:ascii="华文细黑" w:hAnsi="华文细黑" w:eastAsia="华文细黑" w:cs="华文细黑"/>
          <w:sz w:val="24"/>
          <w:szCs w:val="24"/>
        </w:rPr>
      </w:pPr>
      <w:bookmarkStart w:id="32" w:name="_Toc466967828"/>
      <w:bookmarkStart w:id="33" w:name="_Toc29993"/>
      <w:r>
        <w:rPr>
          <w:rFonts w:hint="eastAsia" w:ascii="华文细黑" w:hAnsi="华文细黑" w:eastAsia="华文细黑" w:cs="华文细黑"/>
          <w:sz w:val="24"/>
          <w:szCs w:val="24"/>
        </w:rPr>
        <w:t>行号：</w:t>
      </w:r>
      <w:r>
        <w:rPr>
          <w:rFonts w:ascii="华文细黑" w:hAnsi="华文细黑" w:eastAsia="华文细黑" w:cs="华文细黑"/>
          <w:sz w:val="24"/>
          <w:szCs w:val="24"/>
        </w:rPr>
        <w:t>102653001161</w:t>
      </w:r>
      <w:bookmarkEnd w:id="32"/>
      <w:bookmarkEnd w:id="33"/>
    </w:p>
    <w:p>
      <w:pPr>
        <w:spacing w:line="360" w:lineRule="auto"/>
        <w:ind w:firstLine="1680" w:firstLineChars="700"/>
        <w:outlineLvl w:val="1"/>
        <w:rPr>
          <w:rFonts w:ascii="华文细黑" w:hAnsi="华文细黑" w:eastAsia="华文细黑" w:cs="华文细黑"/>
          <w:sz w:val="24"/>
          <w:szCs w:val="24"/>
        </w:rPr>
      </w:pPr>
      <w:bookmarkStart w:id="34" w:name="_Toc466967829"/>
      <w:bookmarkStart w:id="35" w:name="_Toc8075"/>
      <w:r>
        <w:rPr>
          <w:rFonts w:hint="eastAsia" w:ascii="华文细黑" w:hAnsi="华文细黑" w:eastAsia="华文细黑" w:cs="华文细黑"/>
          <w:sz w:val="24"/>
          <w:szCs w:val="24"/>
        </w:rPr>
        <w:t>组织机构代码：</w:t>
      </w:r>
      <w:r>
        <w:rPr>
          <w:rFonts w:ascii="华文细黑" w:hAnsi="华文细黑" w:eastAsia="华文细黑" w:cs="华文细黑"/>
          <w:sz w:val="24"/>
          <w:szCs w:val="24"/>
        </w:rPr>
        <w:t>45040170-9</w:t>
      </w:r>
      <w:bookmarkEnd w:id="34"/>
      <w:bookmarkEnd w:id="35"/>
    </w:p>
    <w:p>
      <w:pPr>
        <w:spacing w:line="360" w:lineRule="auto"/>
        <w:ind w:firstLine="1680" w:firstLineChars="700"/>
        <w:outlineLvl w:val="1"/>
        <w:rPr>
          <w:rFonts w:ascii="华文细黑" w:hAnsi="华文细黑" w:eastAsia="华文细黑" w:cs="华文细黑"/>
          <w:sz w:val="24"/>
          <w:szCs w:val="24"/>
        </w:rPr>
      </w:pPr>
      <w:bookmarkStart w:id="36" w:name="_Toc466967830"/>
      <w:bookmarkStart w:id="37" w:name="_Toc5234"/>
      <w:r>
        <w:rPr>
          <w:rFonts w:hint="eastAsia" w:ascii="华文细黑" w:hAnsi="华文细黑" w:eastAsia="华文细黑" w:cs="华文细黑"/>
          <w:sz w:val="24"/>
          <w:szCs w:val="24"/>
        </w:rPr>
        <w:t>纳税人识别号：</w:t>
      </w:r>
      <w:r>
        <w:rPr>
          <w:rFonts w:ascii="华文细黑" w:hAnsi="华文细黑" w:eastAsia="华文细黑" w:cs="华文细黑"/>
          <w:sz w:val="24"/>
          <w:szCs w:val="24"/>
        </w:rPr>
        <w:t>125000004504017097</w:t>
      </w:r>
      <w:bookmarkEnd w:id="36"/>
      <w:bookmarkEnd w:id="37"/>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．投标人须严格按采购文件要求，按时缴纳文本费与保证金。</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．投标人须按“缴款通知”要求缴纳文本费与保证金并分别注明详细信息。</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．招标办在采购项目报名截止后，以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方式向计财处提交“报名情况表”。并电话通知计财处。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．计财处在收到“报名情况表”后一个工作日内，以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方式向招标办反馈“报名情况表”上各投标人费用到账情况，并开据文本费收据。</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7</w:t>
      </w:r>
      <w:r>
        <w:rPr>
          <w:rFonts w:hint="eastAsia" w:ascii="华文细黑" w:hAnsi="华文细黑" w:eastAsia="华文细黑" w:cs="华文细黑"/>
          <w:sz w:val="24"/>
          <w:szCs w:val="24"/>
        </w:rPr>
        <w:t>．投标人的文本费收据可在开标现场当场领取。</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8</w:t>
      </w:r>
      <w:r>
        <w:rPr>
          <w:rFonts w:hint="eastAsia" w:ascii="华文细黑" w:hAnsi="华文细黑" w:eastAsia="华文细黑" w:cs="华文细黑"/>
          <w:sz w:val="24"/>
          <w:szCs w:val="24"/>
        </w:rPr>
        <w:t>．未中标人的投标保证金由计划财务处依据招标办提供的退款名单退还至投标人基本账户，不再另行开具收据。</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9</w:t>
      </w:r>
      <w:r>
        <w:rPr>
          <w:rFonts w:hint="eastAsia" w:ascii="华文细黑" w:hAnsi="华文细黑" w:eastAsia="华文细黑" w:cs="华文细黑"/>
          <w:sz w:val="24"/>
          <w:szCs w:val="24"/>
        </w:rPr>
        <w:t>．中标人的投标保证金收据由计财处于合同签订后开具，可在招标办领取。</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10.</w:t>
      </w:r>
      <w:r>
        <w:rPr>
          <w:rFonts w:hint="eastAsia" w:ascii="华文细黑" w:hAnsi="华文细黑" w:eastAsia="华文细黑" w:cs="华文细黑"/>
          <w:sz w:val="24"/>
          <w:szCs w:val="24"/>
        </w:rPr>
        <w:t>投标保证金和履约保证金均不计利息。参加本项目投标的一切费用均由投标人自理。发生以下情况之一者，投标保证金将不予退还。</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、投标人在投标截止日期后，确定中标人以前撤回其投标；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、投标人在投标截止日期后，对投标文件作实质性修改；</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、投标人提供了虚假文件后被核实的；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、投标书不按要求封装的；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、投标人被通知中标后，不按规定的时间或拒绝按中标状态签订合同（即不按中标时规定的技术条件、供货范围、商务条件和价格等签订合同）。</w:t>
      </w:r>
    </w:p>
    <w:bookmarkEnd w:id="21"/>
    <w:bookmarkEnd w:id="22"/>
    <w:bookmarkEnd w:id="23"/>
    <w:bookmarkEnd w:id="24"/>
    <w:bookmarkEnd w:id="25"/>
    <w:p>
      <w:pPr>
        <w:spacing w:line="360" w:lineRule="auto"/>
        <w:outlineLvl w:val="1"/>
        <w:rPr>
          <w:rFonts w:ascii="华文细黑" w:hAnsi="华文细黑" w:eastAsia="华文细黑"/>
          <w:b/>
          <w:bCs/>
        </w:rPr>
      </w:pPr>
      <w:bookmarkStart w:id="38" w:name="_Toc246305542"/>
      <w:bookmarkStart w:id="39" w:name="_Toc246395352"/>
      <w:bookmarkStart w:id="40" w:name="_Toc32582"/>
      <w:bookmarkStart w:id="41" w:name="_Toc223847746"/>
      <w:r>
        <w:rPr>
          <w:rFonts w:hint="eastAsia" w:ascii="华文细黑" w:hAnsi="华文细黑" w:eastAsia="华文细黑" w:cs="华文细黑"/>
          <w:b/>
          <w:bCs/>
        </w:rPr>
        <w:t>四、关于无效投标</w:t>
      </w:r>
      <w:bookmarkEnd w:id="38"/>
      <w:bookmarkEnd w:id="39"/>
      <w:bookmarkEnd w:id="40"/>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、报价人法定代表人或法人授权代表未按时参加开标会；</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、未提供法定代表人授权委托书；</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、未按《招标文件》要求提供必要有效证明文件或提供了虚假文件的；</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、报价表没有按照要求由报价人加盖公章；</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、报价表没有按照要求由投标法人代表或授权代表签字；</w:t>
      </w:r>
    </w:p>
    <w:p>
      <w:pPr>
        <w:spacing w:line="360" w:lineRule="auto"/>
        <w:ind w:left="898" w:leftChars="192" w:hanging="360" w:hangingChars="150"/>
        <w:rPr>
          <w:rFonts w:ascii="华文细黑" w:hAnsi="华文细黑" w:eastAsia="华文细黑"/>
          <w:b/>
          <w:bCs/>
          <w:sz w:val="24"/>
          <w:szCs w:val="24"/>
        </w:rPr>
      </w:pPr>
      <w:r>
        <w:rPr>
          <w:rFonts w:ascii="华文细黑" w:hAnsi="华文细黑" w:eastAsia="华文细黑" w:cs="华文细黑"/>
          <w:sz w:val="24"/>
          <w:szCs w:val="24"/>
        </w:rPr>
        <w:t>F</w:t>
      </w:r>
      <w:r>
        <w:rPr>
          <w:rFonts w:hint="eastAsia" w:ascii="华文细黑" w:hAnsi="华文细黑" w:eastAsia="华文细黑" w:cs="华文细黑"/>
          <w:sz w:val="24"/>
          <w:szCs w:val="24"/>
        </w:rPr>
        <w:t>、报价文件未按规定格式和要求填写，内容不全或字迹模糊，辨认不清而影响评标定标；</w:t>
      </w:r>
    </w:p>
    <w:p>
      <w:pPr>
        <w:spacing w:line="360" w:lineRule="auto"/>
        <w:ind w:left="903" w:leftChars="194" w:hanging="360" w:hangingChars="150"/>
        <w:rPr>
          <w:rFonts w:ascii="华文细黑" w:hAnsi="华文细黑" w:eastAsia="华文细黑"/>
          <w:color w:val="000000"/>
          <w:sz w:val="24"/>
          <w:szCs w:val="24"/>
        </w:rPr>
      </w:pPr>
      <w:r>
        <w:rPr>
          <w:rFonts w:ascii="华文细黑" w:hAnsi="华文细黑" w:eastAsia="华文细黑" w:cs="华文细黑"/>
          <w:sz w:val="24"/>
          <w:szCs w:val="24"/>
        </w:rPr>
        <w:t>G</w:t>
      </w:r>
      <w:r>
        <w:rPr>
          <w:rFonts w:hint="eastAsia" w:ascii="华文细黑" w:hAnsi="华文细黑" w:eastAsia="华文细黑" w:cs="华文细黑"/>
          <w:sz w:val="24"/>
          <w:szCs w:val="24"/>
        </w:rPr>
        <w:t>、报价人若有串标、围标等违法违规行为，招标人有</w:t>
      </w:r>
      <w:r>
        <w:rPr>
          <w:rFonts w:hint="eastAsia" w:ascii="华文细黑" w:hAnsi="华文细黑" w:eastAsia="华文细黑" w:cs="华文细黑"/>
          <w:color w:val="000000"/>
          <w:sz w:val="24"/>
          <w:szCs w:val="24"/>
        </w:rPr>
        <w:t>权终止其在我校的一切投标资格和尚未实施完毕的项目，并保留诉诛法律，追究其经济责任的权利。</w:t>
      </w:r>
      <w:bookmarkStart w:id="42" w:name="_Toc246305543"/>
      <w:bookmarkStart w:id="43" w:name="_Toc246395353"/>
    </w:p>
    <w:p>
      <w:pPr>
        <w:spacing w:line="360" w:lineRule="auto"/>
        <w:outlineLvl w:val="1"/>
        <w:rPr>
          <w:rFonts w:ascii="华文细黑" w:hAnsi="华文细黑" w:eastAsia="华文细黑"/>
          <w:b/>
          <w:bCs/>
        </w:rPr>
      </w:pPr>
      <w:bookmarkStart w:id="44" w:name="_Toc329690779"/>
      <w:bookmarkStart w:id="45" w:name="_Toc12581"/>
      <w:r>
        <w:rPr>
          <w:rFonts w:hint="eastAsia" w:ascii="华文细黑" w:hAnsi="华文细黑" w:eastAsia="华文细黑" w:cs="华文细黑"/>
          <w:b/>
          <w:bCs/>
        </w:rPr>
        <w:t>五、关于废标</w:t>
      </w:r>
      <w:bookmarkEnd w:id="44"/>
      <w:bookmarkEnd w:id="45"/>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出现影响采购公正的违法、违规行为的；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因不可抗力导致重大变故，采购任务取消的；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所有有效报价均超出采购方预算而不能支付或者明显高于市场平均价的；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报价人提交的响应文件不能完全满足询价文件要求的；</w:t>
      </w:r>
    </w:p>
    <w:p>
      <w:pPr>
        <w:numPr>
          <w:ilvl w:val="0"/>
          <w:numId w:val="2"/>
        </w:numPr>
        <w:tabs>
          <w:tab w:val="left" w:pos="1140"/>
        </w:tabs>
        <w:spacing w:line="360" w:lineRule="auto"/>
        <w:ind w:firstLine="60"/>
        <w:rPr>
          <w:rFonts w:ascii="华文细黑" w:hAnsi="华文细黑" w:eastAsia="华文细黑"/>
          <w:sz w:val="24"/>
          <w:szCs w:val="24"/>
        </w:rPr>
      </w:pPr>
      <w:r>
        <w:rPr>
          <w:rFonts w:hint="eastAsia" w:ascii="华文细黑" w:hAnsi="华文细黑" w:eastAsia="华文细黑" w:cs="华文细黑"/>
          <w:sz w:val="24"/>
          <w:szCs w:val="24"/>
        </w:rPr>
        <w:t>其它符合废标条件的。</w:t>
      </w:r>
    </w:p>
    <w:bookmarkEnd w:id="41"/>
    <w:bookmarkEnd w:id="42"/>
    <w:bookmarkEnd w:id="43"/>
    <w:p>
      <w:pPr>
        <w:outlineLvl w:val="2"/>
        <w:rPr>
          <w:rFonts w:ascii="华文细黑" w:hAnsi="华文细黑" w:eastAsia="华文细黑"/>
        </w:rPr>
        <w:sectPr>
          <w:headerReference r:id="rId8" w:type="default"/>
          <w:footerReference r:id="rId9" w:type="default"/>
          <w:pgSz w:w="11906" w:h="16838"/>
          <w:pgMar w:top="1440" w:right="851" w:bottom="1440" w:left="1797" w:header="851" w:footer="992" w:gutter="0"/>
          <w:pgNumType w:start="1"/>
          <w:cols w:space="720" w:num="1"/>
          <w:docGrid w:linePitch="312" w:charSpace="0"/>
        </w:sectPr>
      </w:pPr>
      <w:bookmarkStart w:id="46" w:name="_Toc245281241"/>
      <w:bookmarkStart w:id="47" w:name="_Toc12789058"/>
      <w:bookmarkStart w:id="48" w:name="_Toc129763852"/>
      <w:bookmarkStart w:id="49" w:name="_Toc223847750"/>
      <w:bookmarkStart w:id="50" w:name="_Toc25725124"/>
      <w:bookmarkStart w:id="51" w:name="_Toc11641055"/>
    </w:p>
    <w:p>
      <w:pPr>
        <w:jc w:val="center"/>
        <w:outlineLvl w:val="0"/>
        <w:rPr>
          <w:rFonts w:ascii="华文细黑" w:hAnsi="华文细黑" w:eastAsia="华文细黑"/>
          <w:b/>
          <w:bCs/>
          <w:sz w:val="30"/>
          <w:szCs w:val="30"/>
        </w:rPr>
      </w:pPr>
      <w:bookmarkStart w:id="52" w:name="_Toc6054"/>
      <w:r>
        <w:rPr>
          <w:rFonts w:hint="eastAsia" w:ascii="华文细黑" w:hAnsi="华文细黑" w:eastAsia="华文细黑" w:cs="华文细黑"/>
          <w:b/>
          <w:bCs/>
          <w:sz w:val="30"/>
          <w:szCs w:val="30"/>
        </w:rPr>
        <w:t>第二篇　技术要求</w:t>
      </w:r>
      <w:bookmarkEnd w:id="52"/>
    </w:p>
    <w:p>
      <w:pPr>
        <w:jc w:val="center"/>
        <w:outlineLvl w:val="0"/>
        <w:rPr>
          <w:rFonts w:ascii="华文细黑" w:hAnsi="华文细黑" w:eastAsia="华文细黑"/>
          <w:b/>
          <w:bCs/>
          <w:sz w:val="30"/>
          <w:szCs w:val="30"/>
        </w:rPr>
      </w:pPr>
    </w:p>
    <w:bookmarkEnd w:id="46"/>
    <w:p>
      <w:pPr>
        <w:rPr>
          <w:rFonts w:ascii="华文细黑" w:hAnsi="华文细黑" w:eastAsia="华文细黑" w:cs="华文细黑"/>
        </w:rPr>
      </w:pPr>
      <w:bookmarkStart w:id="53" w:name="_Toc246305548"/>
      <w:bookmarkStart w:id="54" w:name="_Toc246395355"/>
      <w:r>
        <w:rPr>
          <w:rFonts w:hint="eastAsia" w:ascii="华文细黑" w:hAnsi="华文细黑" w:eastAsia="华文细黑" w:cs="华文细黑"/>
        </w:rPr>
        <w:t>一、技术要求一览表</w:t>
      </w:r>
    </w:p>
    <w:p>
      <w:pPr>
        <w:tabs>
          <w:tab w:val="left" w:pos="913"/>
        </w:tabs>
        <w:ind w:firstLine="3616" w:firstLineChars="1290"/>
        <w:jc w:val="left"/>
        <w:outlineLvl w:val="0"/>
        <w:rPr>
          <w:rFonts w:ascii="华文细黑" w:hAnsi="华文细黑" w:eastAsia="华文细黑" w:cs="华文细黑"/>
          <w:b/>
          <w:bCs/>
        </w:rPr>
      </w:pPr>
    </w:p>
    <w:tbl>
      <w:tblPr>
        <w:tblStyle w:val="2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2955"/>
        <w:gridCol w:w="1365"/>
        <w:gridCol w:w="129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5" w:type="dxa"/>
            <w:shd w:val="clear" w:color="auto" w:fill="auto"/>
          </w:tcPr>
          <w:p>
            <w:pPr>
              <w:jc w:val="center"/>
              <w:outlineLvl w:val="0"/>
              <w:rPr>
                <w:rFonts w:ascii="华文细黑" w:hAnsi="华文细黑" w:eastAsia="华文细黑"/>
                <w:color w:val="000000"/>
                <w:sz w:val="24"/>
                <w:szCs w:val="24"/>
              </w:rPr>
            </w:pPr>
            <w:r>
              <w:rPr>
                <w:rFonts w:hint="eastAsia" w:ascii="华文细黑" w:hAnsi="华文细黑" w:eastAsia="华文细黑"/>
                <w:color w:val="000000"/>
                <w:sz w:val="24"/>
                <w:szCs w:val="24"/>
              </w:rPr>
              <w:t>产品名称</w:t>
            </w:r>
          </w:p>
        </w:tc>
        <w:tc>
          <w:tcPr>
            <w:tcW w:w="2955" w:type="dxa"/>
            <w:shd w:val="clear" w:color="auto" w:fill="auto"/>
          </w:tcPr>
          <w:p>
            <w:pPr>
              <w:jc w:val="center"/>
              <w:outlineLvl w:val="0"/>
              <w:rPr>
                <w:rFonts w:ascii="华文细黑" w:hAnsi="华文细黑" w:eastAsia="华文细黑"/>
                <w:color w:val="FF0000"/>
                <w:sz w:val="24"/>
                <w:szCs w:val="24"/>
              </w:rPr>
            </w:pPr>
            <w:r>
              <w:rPr>
                <w:rFonts w:hint="eastAsia" w:ascii="华文细黑" w:hAnsi="华文细黑" w:eastAsia="华文细黑"/>
                <w:color w:val="000000"/>
                <w:sz w:val="24"/>
                <w:szCs w:val="24"/>
              </w:rPr>
              <w:t>技术参数</w:t>
            </w:r>
          </w:p>
        </w:tc>
        <w:tc>
          <w:tcPr>
            <w:tcW w:w="1365" w:type="dxa"/>
            <w:shd w:val="clear" w:color="auto" w:fill="auto"/>
          </w:tcPr>
          <w:p>
            <w:pPr>
              <w:jc w:val="center"/>
              <w:outlineLvl w:val="0"/>
              <w:rPr>
                <w:rFonts w:ascii="华文细黑" w:hAnsi="华文细黑" w:eastAsia="华文细黑"/>
                <w:color w:val="000000"/>
                <w:sz w:val="24"/>
                <w:szCs w:val="24"/>
              </w:rPr>
            </w:pPr>
            <w:r>
              <w:rPr>
                <w:rFonts w:hint="eastAsia" w:ascii="华文细黑" w:hAnsi="华文细黑" w:eastAsia="华文细黑"/>
                <w:color w:val="000000"/>
                <w:sz w:val="24"/>
                <w:szCs w:val="24"/>
              </w:rPr>
              <w:t>数量</w:t>
            </w:r>
          </w:p>
        </w:tc>
        <w:tc>
          <w:tcPr>
            <w:tcW w:w="1290" w:type="dxa"/>
            <w:shd w:val="clear" w:color="auto" w:fill="auto"/>
          </w:tcPr>
          <w:p>
            <w:pPr>
              <w:jc w:val="center"/>
              <w:outlineLvl w:val="0"/>
              <w:rPr>
                <w:rFonts w:ascii="华文细黑" w:hAnsi="华文细黑" w:eastAsia="华文细黑"/>
                <w:color w:val="000000"/>
                <w:sz w:val="24"/>
                <w:szCs w:val="24"/>
              </w:rPr>
            </w:pPr>
            <w:r>
              <w:rPr>
                <w:rFonts w:hint="eastAsia" w:ascii="华文细黑" w:hAnsi="华文细黑" w:eastAsia="华文细黑"/>
                <w:color w:val="000000"/>
                <w:sz w:val="24"/>
                <w:szCs w:val="24"/>
              </w:rPr>
              <w:t>单价（元）</w:t>
            </w:r>
          </w:p>
        </w:tc>
        <w:tc>
          <w:tcPr>
            <w:tcW w:w="1444" w:type="dxa"/>
            <w:shd w:val="clear" w:color="auto" w:fill="auto"/>
          </w:tcPr>
          <w:p>
            <w:pPr>
              <w:jc w:val="center"/>
              <w:outlineLvl w:val="0"/>
              <w:rPr>
                <w:rFonts w:ascii="华文细黑" w:hAnsi="华文细黑" w:eastAsia="华文细黑"/>
                <w:color w:val="000000"/>
                <w:sz w:val="24"/>
                <w:szCs w:val="24"/>
              </w:rPr>
            </w:pPr>
            <w:r>
              <w:rPr>
                <w:rFonts w:hint="eastAsia" w:ascii="华文细黑" w:hAnsi="华文细黑" w:eastAsia="华文细黑"/>
                <w:color w:val="00000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5" w:type="dxa"/>
            <w:shd w:val="clear" w:color="auto" w:fill="auto"/>
          </w:tcPr>
          <w:p>
            <w:pPr>
              <w:jc w:val="center"/>
              <w:outlineLvl w:val="0"/>
              <w:rPr>
                <w:rFonts w:ascii="华文细黑" w:hAnsi="华文细黑" w:eastAsia="华文细黑"/>
                <w:color w:val="000000"/>
                <w:sz w:val="24"/>
                <w:szCs w:val="24"/>
              </w:rPr>
            </w:pPr>
            <w:r>
              <w:rPr>
                <w:rFonts w:hint="eastAsia" w:ascii="华文细黑" w:hAnsi="华文细黑" w:eastAsia="华文细黑"/>
                <w:color w:val="000000"/>
                <w:sz w:val="24"/>
                <w:szCs w:val="24"/>
              </w:rPr>
              <w:t>机房蓄电池</w:t>
            </w:r>
          </w:p>
        </w:tc>
        <w:tc>
          <w:tcPr>
            <w:tcW w:w="2955" w:type="dxa"/>
            <w:shd w:val="clear" w:color="auto" w:fill="auto"/>
          </w:tcPr>
          <w:p>
            <w:pPr>
              <w:jc w:val="center"/>
              <w:outlineLvl w:val="0"/>
              <w:rPr>
                <w:rFonts w:ascii="华文细黑" w:hAnsi="华文细黑" w:eastAsia="华文细黑"/>
                <w:color w:val="FF0000"/>
                <w:sz w:val="24"/>
                <w:szCs w:val="24"/>
              </w:rPr>
            </w:pPr>
            <w:r>
              <w:rPr>
                <w:rFonts w:hint="eastAsia" w:ascii="华文细黑" w:hAnsi="华文细黑" w:eastAsia="华文细黑"/>
                <w:b/>
                <w:sz w:val="24"/>
                <w:szCs w:val="24"/>
              </w:rPr>
              <w:t>SM12V100AH，维护保养</w:t>
            </w:r>
          </w:p>
        </w:tc>
        <w:tc>
          <w:tcPr>
            <w:tcW w:w="1365" w:type="dxa"/>
            <w:shd w:val="clear" w:color="auto" w:fill="auto"/>
          </w:tcPr>
          <w:p>
            <w:pPr>
              <w:jc w:val="center"/>
              <w:outlineLvl w:val="0"/>
              <w:rPr>
                <w:rFonts w:ascii="华文细黑" w:hAnsi="华文细黑" w:eastAsia="华文细黑"/>
                <w:color w:val="000000"/>
                <w:sz w:val="24"/>
                <w:szCs w:val="24"/>
              </w:rPr>
            </w:pPr>
            <w:r>
              <w:rPr>
                <w:rFonts w:hint="eastAsia" w:ascii="华文细黑" w:hAnsi="华文细黑" w:eastAsia="华文细黑"/>
                <w:color w:val="000000"/>
                <w:sz w:val="24"/>
                <w:szCs w:val="24"/>
              </w:rPr>
              <w:t>192只</w:t>
            </w:r>
          </w:p>
        </w:tc>
        <w:tc>
          <w:tcPr>
            <w:tcW w:w="1290" w:type="dxa"/>
            <w:shd w:val="clear" w:color="auto" w:fill="auto"/>
          </w:tcPr>
          <w:p>
            <w:pPr>
              <w:jc w:val="center"/>
              <w:outlineLvl w:val="0"/>
              <w:rPr>
                <w:rFonts w:ascii="华文细黑" w:hAnsi="华文细黑" w:eastAsia="华文细黑"/>
                <w:color w:val="000000"/>
                <w:sz w:val="24"/>
                <w:szCs w:val="24"/>
              </w:rPr>
            </w:pPr>
          </w:p>
        </w:tc>
        <w:tc>
          <w:tcPr>
            <w:tcW w:w="1444" w:type="dxa"/>
            <w:shd w:val="clear" w:color="auto" w:fill="auto"/>
          </w:tcPr>
          <w:p>
            <w:pPr>
              <w:jc w:val="center"/>
              <w:outlineLvl w:val="0"/>
              <w:rPr>
                <w:rFonts w:ascii="华文细黑" w:hAnsi="华文细黑" w:eastAsia="华文细黑"/>
                <w:color w:val="000000"/>
                <w:sz w:val="24"/>
                <w:szCs w:val="24"/>
              </w:rPr>
            </w:pPr>
          </w:p>
        </w:tc>
      </w:tr>
    </w:tbl>
    <w:p>
      <w:pPr>
        <w:rPr>
          <w:rFonts w:ascii="华文细黑" w:hAnsi="华文细黑" w:eastAsia="华文细黑" w:cs="华文细黑"/>
        </w:rPr>
      </w:pPr>
    </w:p>
    <w:p>
      <w:pPr>
        <w:spacing w:line="360" w:lineRule="auto"/>
        <w:rPr>
          <w:rFonts w:ascii="华文细黑" w:hAnsi="华文细黑" w:eastAsia="华文细黑"/>
          <w:b/>
          <w:kern w:val="0"/>
          <w:sz w:val="24"/>
          <w:szCs w:val="24"/>
        </w:rPr>
      </w:pPr>
      <w:r>
        <w:rPr>
          <w:rFonts w:hint="eastAsia" w:ascii="华文细黑" w:hAnsi="华文细黑" w:eastAsia="华文细黑" w:cs="华文细黑"/>
        </w:rPr>
        <w:t>二．蓄电池产品性能</w:t>
      </w:r>
      <w:r>
        <w:rPr>
          <w:rFonts w:ascii="华文细黑" w:hAnsi="华文细黑" w:eastAsia="华文细黑" w:cs="华文细黑"/>
        </w:rPr>
        <w:t xml:space="preserve">   </w:t>
      </w:r>
      <w:r>
        <w:rPr>
          <w:rFonts w:ascii="华文细黑" w:hAnsi="华文细黑" w:eastAsia="华文细黑"/>
          <w:b/>
          <w:kern w:val="0"/>
          <w:sz w:val="24"/>
          <w:szCs w:val="24"/>
        </w:rPr>
        <w:t xml:space="preserve">                          </w:t>
      </w:r>
      <w:r>
        <w:rPr>
          <w:rFonts w:hint="eastAsia" w:ascii="华文细黑" w:hAnsi="华文细黑" w:eastAsia="华文细黑"/>
          <w:b/>
          <w:kern w:val="0"/>
          <w:sz w:val="24"/>
          <w:szCs w:val="24"/>
        </w:rPr>
        <w:t xml:space="preserve"> </w:t>
      </w:r>
    </w:p>
    <w:p>
      <w:pPr>
        <w:pStyle w:val="57"/>
        <w:numPr>
          <w:ilvl w:val="0"/>
          <w:numId w:val="3"/>
        </w:numPr>
        <w:spacing w:line="360" w:lineRule="auto"/>
        <w:ind w:firstLineChars="0"/>
        <w:rPr>
          <w:rFonts w:ascii="华文细黑" w:hAnsi="华文细黑" w:eastAsia="华文细黑"/>
          <w:b/>
          <w:kern w:val="0"/>
          <w:sz w:val="24"/>
          <w:szCs w:val="24"/>
        </w:rPr>
      </w:pPr>
      <w:r>
        <w:rPr>
          <w:rFonts w:hint="eastAsia" w:ascii="华文细黑" w:hAnsi="华文细黑" w:eastAsia="华文细黑" w:cs="Times New Roman"/>
          <w:kern w:val="2"/>
          <w:sz w:val="24"/>
          <w:szCs w:val="24"/>
          <w:lang w:val="en-US" w:eastAsia="zh-CN" w:bidi="ar-SA"/>
        </w:rPr>
        <w:t xml:space="preserve">蓄电池产品性能   </w:t>
      </w:r>
      <w:r>
        <w:rPr>
          <w:rFonts w:ascii="华文细黑" w:hAnsi="华文细黑" w:eastAsia="华文细黑"/>
          <w:b/>
          <w:kern w:val="0"/>
          <w:sz w:val="24"/>
          <w:szCs w:val="24"/>
        </w:rPr>
        <w:t xml:space="preserve">                          </w:t>
      </w:r>
      <w:r>
        <w:rPr>
          <w:rFonts w:hint="eastAsia" w:ascii="华文细黑" w:hAnsi="华文细黑" w:eastAsia="华文细黑"/>
          <w:b/>
          <w:kern w:val="0"/>
          <w:sz w:val="24"/>
          <w:szCs w:val="24"/>
        </w:rPr>
        <w:t xml:space="preserve"> </w:t>
      </w:r>
    </w:p>
    <w:tbl>
      <w:tblPr>
        <w:tblStyle w:val="29"/>
        <w:tblW w:w="818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16"/>
        <w:gridCol w:w="3685"/>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5490" w:type="dxa"/>
            <w:gridSpan w:val="3"/>
            <w:vAlign w:val="center"/>
          </w:tcPr>
          <w:p>
            <w:pPr>
              <w:jc w:val="center"/>
              <w:rPr>
                <w:rFonts w:ascii="华文细黑" w:hAnsi="华文细黑" w:eastAsia="华文细黑"/>
                <w:sz w:val="24"/>
                <w:szCs w:val="24"/>
              </w:rPr>
            </w:pPr>
            <w:r>
              <w:rPr>
                <w:rFonts w:hint="eastAsia" w:ascii="华文细黑" w:hAnsi="华文细黑" w:eastAsia="华文细黑"/>
                <w:sz w:val="24"/>
                <w:szCs w:val="24"/>
              </w:rPr>
              <w:t>额定电压</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12</w:t>
            </w:r>
            <w:r>
              <w:rPr>
                <w:rFonts w:ascii="华文细黑" w:hAnsi="华文细黑" w:eastAsia="华文细黑"/>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5490" w:type="dxa"/>
            <w:gridSpan w:val="3"/>
            <w:vAlign w:val="center"/>
          </w:tcPr>
          <w:p>
            <w:pPr>
              <w:jc w:val="center"/>
              <w:rPr>
                <w:rFonts w:ascii="华文细黑" w:hAnsi="华文细黑" w:eastAsia="华文细黑"/>
                <w:sz w:val="24"/>
                <w:szCs w:val="24"/>
              </w:rPr>
            </w:pPr>
            <w:r>
              <w:rPr>
                <w:rFonts w:hint="eastAsia" w:ascii="华文细黑" w:hAnsi="华文细黑" w:eastAsia="华文细黑"/>
                <w:sz w:val="24"/>
                <w:szCs w:val="24"/>
              </w:rPr>
              <w:t>额定容量</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100</w:t>
            </w:r>
            <w:r>
              <w:rPr>
                <w:rFonts w:ascii="华文细黑" w:hAnsi="华文细黑" w:eastAsia="华文细黑"/>
                <w:sz w:val="24"/>
                <w:szCs w:val="24"/>
              </w:rPr>
              <w:t>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restart"/>
            <w:vAlign w:val="center"/>
          </w:tcPr>
          <w:p>
            <w:pPr>
              <w:jc w:val="center"/>
              <w:rPr>
                <w:rFonts w:ascii="华文细黑" w:hAnsi="华文细黑" w:eastAsia="华文细黑"/>
                <w:sz w:val="24"/>
                <w:szCs w:val="24"/>
              </w:rPr>
            </w:pPr>
            <w:r>
              <w:rPr>
                <w:rFonts w:hint="eastAsia" w:ascii="华文细黑" w:hAnsi="华文细黑" w:eastAsia="华文细黑"/>
                <w:sz w:val="24"/>
                <w:szCs w:val="24"/>
              </w:rPr>
              <w:t>容量</w:t>
            </w:r>
            <w:r>
              <w:rPr>
                <w:rFonts w:ascii="华文细黑" w:hAnsi="华文细黑" w:eastAsia="华文细黑"/>
                <w:sz w:val="24"/>
                <w:szCs w:val="24"/>
              </w:rPr>
              <w:t>25℃(77°F)</w:t>
            </w: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≥1</w:t>
            </w:r>
            <w:r>
              <w:rPr>
                <w:rFonts w:ascii="华文细黑" w:hAnsi="华文细黑" w:eastAsia="华文细黑"/>
                <w:sz w:val="24"/>
                <w:szCs w:val="24"/>
              </w:rPr>
              <w:t>0HR (</w:t>
            </w:r>
            <w:r>
              <w:rPr>
                <w:rFonts w:hint="eastAsia" w:ascii="华文细黑" w:hAnsi="华文细黑" w:eastAsia="华文细黑"/>
                <w:sz w:val="24"/>
                <w:szCs w:val="24"/>
              </w:rPr>
              <w:t>10</w:t>
            </w:r>
            <w:r>
              <w:rPr>
                <w:rFonts w:ascii="华文细黑" w:hAnsi="华文细黑" w:eastAsia="华文细黑"/>
                <w:sz w:val="24"/>
                <w:szCs w:val="24"/>
              </w:rPr>
              <w:t>A)</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≥95</w:t>
            </w:r>
            <w:r>
              <w:rPr>
                <w:rFonts w:ascii="华文细黑" w:hAnsi="华文细黑" w:eastAsia="华文细黑"/>
                <w:sz w:val="24"/>
                <w:szCs w:val="24"/>
              </w:rPr>
              <w:t>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≥3HR</w:t>
            </w:r>
            <w:r>
              <w:rPr>
                <w:rFonts w:ascii="华文细黑" w:hAnsi="华文细黑" w:eastAsia="华文细黑"/>
                <w:sz w:val="24"/>
                <w:szCs w:val="24"/>
              </w:rPr>
              <w:t xml:space="preserve"> (</w:t>
            </w:r>
            <w:r>
              <w:rPr>
                <w:rFonts w:hint="eastAsia" w:ascii="华文细黑" w:hAnsi="华文细黑" w:eastAsia="华文细黑"/>
                <w:sz w:val="24"/>
                <w:szCs w:val="24"/>
              </w:rPr>
              <w:t>25</w:t>
            </w:r>
            <w:r>
              <w:rPr>
                <w:rFonts w:ascii="华文细黑" w:hAnsi="华文细黑" w:eastAsia="华文细黑"/>
                <w:sz w:val="24"/>
                <w:szCs w:val="24"/>
              </w:rPr>
              <w:t>A)</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≥75</w:t>
            </w:r>
            <w:r>
              <w:rPr>
                <w:rFonts w:ascii="华文细黑" w:hAnsi="华文细黑" w:eastAsia="华文细黑"/>
                <w:sz w:val="24"/>
                <w:szCs w:val="24"/>
              </w:rPr>
              <w:t>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≥1HR</w:t>
            </w:r>
            <w:r>
              <w:rPr>
                <w:rFonts w:ascii="华文细黑" w:hAnsi="华文细黑" w:eastAsia="华文细黑"/>
                <w:sz w:val="24"/>
                <w:szCs w:val="24"/>
              </w:rPr>
              <w:t xml:space="preserve"> (</w:t>
            </w:r>
            <w:r>
              <w:rPr>
                <w:rFonts w:hint="eastAsia" w:ascii="华文细黑" w:hAnsi="华文细黑" w:eastAsia="华文细黑"/>
                <w:sz w:val="24"/>
                <w:szCs w:val="24"/>
              </w:rPr>
              <w:t>55</w:t>
            </w:r>
            <w:r>
              <w:rPr>
                <w:rFonts w:ascii="华文细黑" w:hAnsi="华文细黑" w:eastAsia="华文细黑"/>
                <w:sz w:val="24"/>
                <w:szCs w:val="24"/>
              </w:rPr>
              <w:t>A)</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≥55</w:t>
            </w:r>
            <w:r>
              <w:rPr>
                <w:rFonts w:ascii="华文细黑" w:hAnsi="华文细黑" w:eastAsia="华文细黑"/>
                <w:sz w:val="24"/>
                <w:szCs w:val="24"/>
              </w:rPr>
              <w:t>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Align w:val="center"/>
          </w:tcPr>
          <w:p>
            <w:pPr>
              <w:spacing w:line="200" w:lineRule="exact"/>
              <w:jc w:val="center"/>
              <w:rPr>
                <w:rFonts w:ascii="华文细黑" w:hAnsi="华文细黑" w:eastAsia="华文细黑"/>
                <w:sz w:val="24"/>
                <w:szCs w:val="24"/>
              </w:rPr>
            </w:pPr>
            <w:r>
              <w:rPr>
                <w:rFonts w:hint="eastAsia" w:ascii="华文细黑" w:hAnsi="华文细黑" w:eastAsia="华文细黑"/>
                <w:sz w:val="24"/>
                <w:szCs w:val="24"/>
              </w:rPr>
              <w:t>内阻</w:t>
            </w: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充满电</w:t>
            </w:r>
            <w:r>
              <w:rPr>
                <w:rFonts w:ascii="华文细黑" w:hAnsi="华文细黑" w:eastAsia="华文细黑"/>
                <w:sz w:val="24"/>
                <w:szCs w:val="24"/>
              </w:rPr>
              <w:t xml:space="preserve"> 25℃(77°F)</w:t>
            </w:r>
          </w:p>
        </w:tc>
        <w:tc>
          <w:tcPr>
            <w:tcW w:w="2694" w:type="dxa"/>
            <w:vAlign w:val="center"/>
          </w:tcPr>
          <w:p>
            <w:pPr>
              <w:jc w:val="center"/>
              <w:rPr>
                <w:rFonts w:ascii="华文细黑" w:hAnsi="华文细黑" w:eastAsia="华文细黑"/>
                <w:sz w:val="24"/>
                <w:szCs w:val="24"/>
              </w:rPr>
            </w:pPr>
            <w:r>
              <w:rPr>
                <w:rFonts w:ascii="华文细黑" w:hAnsi="华文细黑" w:eastAsia="华文细黑"/>
                <w:sz w:val="24"/>
                <w:szCs w:val="24"/>
              </w:rPr>
              <w:t>≤</w:t>
            </w:r>
            <w:r>
              <w:rPr>
                <w:rFonts w:hint="eastAsia" w:ascii="华文细黑" w:hAnsi="华文细黑" w:eastAsia="华文细黑"/>
                <w:sz w:val="24"/>
                <w:szCs w:val="24"/>
              </w:rPr>
              <w:t>4.5</w:t>
            </w:r>
            <w:r>
              <w:rPr>
                <w:rFonts w:ascii="华文细黑" w:hAnsi="华文细黑" w:eastAsia="华文细黑"/>
                <w:sz w:val="24"/>
                <w:szCs w:val="24"/>
              </w:rPr>
              <w:t>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Align w:val="center"/>
          </w:tcPr>
          <w:p>
            <w:pPr>
              <w:jc w:val="center"/>
              <w:rPr>
                <w:rFonts w:ascii="华文细黑" w:hAnsi="华文细黑" w:eastAsia="华文细黑"/>
                <w:sz w:val="24"/>
                <w:szCs w:val="24"/>
              </w:rPr>
            </w:pPr>
            <w:r>
              <w:rPr>
                <w:rFonts w:hint="eastAsia" w:ascii="华文细黑" w:hAnsi="华文细黑" w:eastAsia="华文细黑"/>
                <w:sz w:val="24"/>
                <w:szCs w:val="24"/>
              </w:rPr>
              <w:t>循环使用寿命</w:t>
            </w:r>
          </w:p>
        </w:tc>
        <w:tc>
          <w:tcPr>
            <w:tcW w:w="3685" w:type="dxa"/>
            <w:vAlign w:val="center"/>
          </w:tcPr>
          <w:p>
            <w:pPr>
              <w:jc w:val="center"/>
              <w:rPr>
                <w:rFonts w:ascii="华文细黑" w:hAnsi="华文细黑" w:eastAsia="华文细黑"/>
                <w:sz w:val="24"/>
                <w:szCs w:val="24"/>
              </w:rPr>
            </w:pPr>
            <w:r>
              <w:rPr>
                <w:rFonts w:ascii="华文细黑" w:hAnsi="华文细黑" w:eastAsia="华文细黑"/>
                <w:sz w:val="24"/>
                <w:szCs w:val="24"/>
              </w:rPr>
              <w:t>50%(C10)</w:t>
            </w:r>
            <w:r>
              <w:rPr>
                <w:rFonts w:hint="eastAsia" w:ascii="华文细黑" w:hAnsi="华文细黑" w:eastAsia="华文细黑"/>
                <w:sz w:val="24"/>
                <w:szCs w:val="24"/>
              </w:rPr>
              <w:t>深放电</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450</w:t>
            </w:r>
            <w:r>
              <w:rPr>
                <w:rFonts w:hint="eastAsia" w:ascii="华文细黑" w:hAnsi="华文细黑" w:eastAsia="华文细黑"/>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805" w:type="dxa"/>
            <w:gridSpan w:val="2"/>
            <w:vAlign w:val="center"/>
          </w:tcPr>
          <w:p>
            <w:pPr>
              <w:jc w:val="center"/>
              <w:rPr>
                <w:rFonts w:ascii="华文细黑" w:hAnsi="华文细黑" w:eastAsia="华文细黑"/>
                <w:sz w:val="24"/>
                <w:szCs w:val="24"/>
              </w:rPr>
            </w:pPr>
            <w:r>
              <w:rPr>
                <w:rFonts w:hint="eastAsia" w:ascii="华文细黑" w:hAnsi="华文细黑" w:eastAsia="华文细黑"/>
                <w:sz w:val="24"/>
                <w:szCs w:val="24"/>
              </w:rPr>
              <w:t>浮充使用寿命</w:t>
            </w:r>
          </w:p>
        </w:tc>
        <w:tc>
          <w:tcPr>
            <w:tcW w:w="3685" w:type="dxa"/>
            <w:vAlign w:val="center"/>
          </w:tcPr>
          <w:p>
            <w:pPr>
              <w:ind w:firstLine="480" w:firstLineChars="200"/>
              <w:rPr>
                <w:rFonts w:ascii="华文细黑" w:hAnsi="华文细黑" w:eastAsia="华文细黑"/>
                <w:sz w:val="24"/>
                <w:szCs w:val="24"/>
              </w:rPr>
            </w:pPr>
            <w:r>
              <w:rPr>
                <w:rFonts w:hint="eastAsia" w:ascii="华文细黑" w:hAnsi="华文细黑" w:eastAsia="华文细黑"/>
                <w:sz w:val="24"/>
                <w:szCs w:val="24"/>
              </w:rPr>
              <w:t>浮充电压</w:t>
            </w:r>
            <w:r>
              <w:rPr>
                <w:rFonts w:ascii="华文细黑" w:hAnsi="华文细黑" w:eastAsia="华文细黑"/>
                <w:sz w:val="24"/>
                <w:szCs w:val="24"/>
              </w:rPr>
              <w:t>:</w:t>
            </w:r>
            <w:r>
              <w:rPr>
                <w:rFonts w:hint="eastAsia" w:ascii="华文细黑" w:hAnsi="华文细黑" w:eastAsia="华文细黑"/>
                <w:sz w:val="24"/>
                <w:szCs w:val="24"/>
              </w:rPr>
              <w:t xml:space="preserve"> </w:t>
            </w:r>
            <w:r>
              <w:rPr>
                <w:rFonts w:ascii="华文细黑" w:hAnsi="华文细黑" w:eastAsia="华文细黑"/>
                <w:sz w:val="24"/>
                <w:szCs w:val="24"/>
              </w:rPr>
              <w:t>13.8V</w:t>
            </w:r>
          </w:p>
          <w:p>
            <w:pPr>
              <w:rPr>
                <w:rFonts w:ascii="华文细黑" w:hAnsi="华文细黑" w:eastAsia="华文细黑"/>
                <w:sz w:val="24"/>
                <w:szCs w:val="24"/>
              </w:rPr>
            </w:pPr>
            <w:r>
              <w:rPr>
                <w:rFonts w:ascii="华文细黑" w:hAnsi="华文细黑" w:eastAsia="华文细黑"/>
                <w:sz w:val="24"/>
                <w:szCs w:val="24"/>
              </w:rPr>
              <w:t xml:space="preserve">  </w:t>
            </w:r>
            <w:r>
              <w:rPr>
                <w:rFonts w:hint="eastAsia" w:ascii="华文细黑" w:hAnsi="华文细黑" w:eastAsia="华文细黑"/>
                <w:sz w:val="24"/>
                <w:szCs w:val="24"/>
              </w:rPr>
              <w:t xml:space="preserve">   </w:t>
            </w:r>
            <w:r>
              <w:rPr>
                <w:rFonts w:ascii="华文细黑" w:hAnsi="华文细黑" w:eastAsia="华文细黑"/>
                <w:sz w:val="24"/>
                <w:szCs w:val="24"/>
              </w:rPr>
              <w:t>25℃(77°F)</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 xml:space="preserve"> 6 </w:t>
            </w:r>
            <w:r>
              <w:rPr>
                <w:rFonts w:hint="eastAsia" w:ascii="华文细黑" w:hAnsi="华文细黑" w:eastAsia="华文细黑"/>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restart"/>
            <w:vAlign w:val="center"/>
          </w:tcPr>
          <w:p>
            <w:pPr>
              <w:jc w:val="center"/>
              <w:rPr>
                <w:rFonts w:ascii="华文细黑" w:hAnsi="华文细黑" w:eastAsia="华文细黑"/>
                <w:sz w:val="24"/>
                <w:szCs w:val="24"/>
              </w:rPr>
            </w:pPr>
            <w:r>
              <w:rPr>
                <w:rFonts w:hint="eastAsia" w:ascii="华文细黑" w:hAnsi="华文细黑" w:eastAsia="华文细黑"/>
                <w:sz w:val="24"/>
                <w:szCs w:val="24"/>
              </w:rPr>
              <w:t>温度的影响</w:t>
            </w:r>
          </w:p>
          <w:p>
            <w:pPr>
              <w:jc w:val="center"/>
              <w:rPr>
                <w:rFonts w:ascii="华文细黑" w:hAnsi="华文细黑" w:eastAsia="华文细黑"/>
                <w:sz w:val="24"/>
                <w:szCs w:val="24"/>
              </w:rPr>
            </w:pPr>
            <w:r>
              <w:rPr>
                <w:rFonts w:ascii="华文细黑" w:hAnsi="华文细黑" w:eastAsia="华文细黑"/>
                <w:sz w:val="24"/>
                <w:szCs w:val="24"/>
              </w:rPr>
              <w:t>(10 HR )</w:t>
            </w:r>
          </w:p>
        </w:tc>
        <w:tc>
          <w:tcPr>
            <w:tcW w:w="3685" w:type="dxa"/>
            <w:vAlign w:val="center"/>
          </w:tcPr>
          <w:p>
            <w:pPr>
              <w:jc w:val="center"/>
              <w:rPr>
                <w:rFonts w:ascii="华文细黑" w:hAnsi="华文细黑" w:eastAsia="华文细黑"/>
                <w:sz w:val="24"/>
                <w:szCs w:val="24"/>
              </w:rPr>
            </w:pPr>
            <w:r>
              <w:rPr>
                <w:rFonts w:ascii="华文细黑" w:hAnsi="华文细黑" w:eastAsia="华文细黑"/>
                <w:sz w:val="24"/>
                <w:szCs w:val="24"/>
              </w:rPr>
              <w:t>40℃ (104°F)</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ascii="华文细黑" w:hAnsi="华文细黑" w:eastAsia="华文细黑"/>
                <w:sz w:val="24"/>
                <w:szCs w:val="24"/>
              </w:rPr>
              <w:t>25℃ (77°F)</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ascii="华文细黑" w:hAnsi="华文细黑" w:eastAsia="华文细黑"/>
                <w:sz w:val="24"/>
                <w:szCs w:val="24"/>
              </w:rPr>
              <w:t>0℃ (32°F)</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ascii="华文细黑" w:hAnsi="华文细黑" w:eastAsia="华文细黑"/>
                <w:sz w:val="24"/>
                <w:szCs w:val="24"/>
              </w:rPr>
              <w:t>-15℃ (5°F)</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805" w:type="dxa"/>
            <w:gridSpan w:val="2"/>
            <w:vMerge w:val="restart"/>
            <w:vAlign w:val="center"/>
          </w:tcPr>
          <w:p>
            <w:pPr>
              <w:jc w:val="center"/>
              <w:rPr>
                <w:rFonts w:ascii="华文细黑" w:hAnsi="华文细黑" w:eastAsia="华文细黑"/>
                <w:sz w:val="24"/>
                <w:szCs w:val="24"/>
              </w:rPr>
            </w:pPr>
            <w:r>
              <w:rPr>
                <w:rFonts w:hint="eastAsia" w:ascii="华文细黑" w:hAnsi="华文细黑" w:eastAsia="华文细黑"/>
                <w:sz w:val="24"/>
                <w:szCs w:val="24"/>
              </w:rPr>
              <w:t>自放电</w:t>
            </w:r>
          </w:p>
          <w:p>
            <w:pPr>
              <w:jc w:val="center"/>
              <w:rPr>
                <w:rFonts w:ascii="华文细黑" w:hAnsi="华文细黑" w:eastAsia="华文细黑"/>
                <w:sz w:val="24"/>
                <w:szCs w:val="24"/>
              </w:rPr>
            </w:pPr>
            <w:r>
              <w:rPr>
                <w:rFonts w:ascii="华文细黑" w:hAnsi="华文细黑" w:eastAsia="华文细黑"/>
                <w:sz w:val="24"/>
                <w:szCs w:val="24"/>
              </w:rPr>
              <w:t>25℃(77°F)</w:t>
            </w: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储存3个月后的剩余容量</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储存6个月后的剩余容量</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805" w:type="dxa"/>
            <w:gridSpan w:val="2"/>
            <w:vMerge w:val="continue"/>
            <w:vAlign w:val="center"/>
          </w:tcPr>
          <w:p>
            <w:pPr>
              <w:jc w:val="center"/>
              <w:rPr>
                <w:rFonts w:ascii="华文细黑" w:hAnsi="华文细黑" w:eastAsia="华文细黑"/>
                <w:sz w:val="24"/>
                <w:szCs w:val="24"/>
              </w:rPr>
            </w:pPr>
          </w:p>
        </w:tc>
        <w:tc>
          <w:tcPr>
            <w:tcW w:w="3685"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储存12个月后的剩余容量</w:t>
            </w:r>
          </w:p>
        </w:tc>
        <w:tc>
          <w:tcPr>
            <w:tcW w:w="2694"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w:t>
            </w:r>
            <w:r>
              <w:rPr>
                <w:rFonts w:ascii="华文细黑" w:hAnsi="华文细黑" w:eastAsia="华文细黑"/>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89" w:type="dxa"/>
            <w:vMerge w:val="restart"/>
            <w:vAlign w:val="center"/>
          </w:tcPr>
          <w:p>
            <w:pPr>
              <w:jc w:val="center"/>
              <w:rPr>
                <w:rFonts w:ascii="华文细黑" w:hAnsi="华文细黑" w:eastAsia="华文细黑"/>
                <w:sz w:val="24"/>
                <w:szCs w:val="24"/>
              </w:rPr>
            </w:pPr>
            <w:r>
              <w:rPr>
                <w:rFonts w:hint="eastAsia" w:ascii="华文细黑" w:hAnsi="华文细黑" w:eastAsia="华文细黑"/>
                <w:sz w:val="24"/>
                <w:szCs w:val="24"/>
              </w:rPr>
              <w:t>充电方法</w:t>
            </w:r>
            <w:r>
              <w:rPr>
                <w:rFonts w:ascii="华文细黑" w:hAnsi="华文细黑" w:eastAsia="华文细黑"/>
                <w:sz w:val="24"/>
                <w:szCs w:val="24"/>
              </w:rPr>
              <w:t>25℃</w:t>
            </w:r>
          </w:p>
          <w:p>
            <w:pPr>
              <w:jc w:val="center"/>
              <w:rPr>
                <w:rFonts w:ascii="华文细黑" w:hAnsi="华文细黑" w:eastAsia="华文细黑"/>
                <w:sz w:val="24"/>
                <w:szCs w:val="24"/>
              </w:rPr>
            </w:pPr>
            <w:r>
              <w:rPr>
                <w:rFonts w:ascii="华文细黑" w:hAnsi="华文细黑" w:eastAsia="华文细黑"/>
                <w:sz w:val="24"/>
                <w:szCs w:val="24"/>
              </w:rPr>
              <w:t>(77°F)</w:t>
            </w:r>
          </w:p>
        </w:tc>
        <w:tc>
          <w:tcPr>
            <w:tcW w:w="1116"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循环</w:t>
            </w:r>
          </w:p>
          <w:p>
            <w:pPr>
              <w:jc w:val="center"/>
              <w:rPr>
                <w:rFonts w:ascii="华文细黑" w:hAnsi="华文细黑" w:eastAsia="华文细黑"/>
                <w:sz w:val="24"/>
                <w:szCs w:val="24"/>
              </w:rPr>
            </w:pPr>
            <w:r>
              <w:rPr>
                <w:rFonts w:hint="eastAsia" w:ascii="华文细黑" w:hAnsi="华文细黑" w:eastAsia="华文细黑"/>
                <w:sz w:val="24"/>
                <w:szCs w:val="24"/>
              </w:rPr>
              <w:t>使用</w:t>
            </w:r>
          </w:p>
          <w:p>
            <w:pPr>
              <w:jc w:val="center"/>
              <w:rPr>
                <w:rFonts w:ascii="华文细黑" w:hAnsi="华文细黑" w:eastAsia="华文细黑"/>
                <w:sz w:val="24"/>
                <w:szCs w:val="24"/>
              </w:rPr>
            </w:pPr>
          </w:p>
        </w:tc>
        <w:tc>
          <w:tcPr>
            <w:tcW w:w="6379" w:type="dxa"/>
            <w:gridSpan w:val="2"/>
            <w:vAlign w:val="center"/>
          </w:tcPr>
          <w:p>
            <w:pPr>
              <w:jc w:val="center"/>
              <w:rPr>
                <w:rFonts w:ascii="华文细黑" w:hAnsi="华文细黑" w:eastAsia="华文细黑"/>
                <w:sz w:val="24"/>
                <w:szCs w:val="24"/>
              </w:rPr>
            </w:pPr>
            <w:r>
              <w:rPr>
                <w:rFonts w:hint="eastAsia" w:ascii="华文细黑" w:hAnsi="华文细黑" w:eastAsia="华文细黑"/>
                <w:sz w:val="24"/>
                <w:szCs w:val="24"/>
              </w:rPr>
              <w:t>初始电流≤30A,恒压</w:t>
            </w:r>
          </w:p>
          <w:p>
            <w:pPr>
              <w:jc w:val="center"/>
              <w:rPr>
                <w:rFonts w:ascii="华文细黑" w:hAnsi="华文细黑" w:eastAsia="华文细黑"/>
                <w:sz w:val="24"/>
                <w:szCs w:val="24"/>
              </w:rPr>
            </w:pPr>
            <w:r>
              <w:rPr>
                <w:rFonts w:ascii="华文细黑" w:hAnsi="华文细黑" w:eastAsia="华文细黑"/>
                <w:sz w:val="24"/>
                <w:szCs w:val="24"/>
              </w:rPr>
              <w:t xml:space="preserve"> </w:t>
            </w:r>
            <w:r>
              <w:rPr>
                <w:rFonts w:hint="eastAsia" w:ascii="华文细黑" w:hAnsi="华文细黑" w:eastAsia="华文细黑"/>
                <w:sz w:val="24"/>
                <w:szCs w:val="24"/>
              </w:rPr>
              <w:t xml:space="preserve">14.5 </w:t>
            </w:r>
            <w:r>
              <w:rPr>
                <w:rFonts w:ascii="华文细黑" w:hAnsi="华文细黑" w:eastAsia="华文细黑"/>
                <w:sz w:val="24"/>
                <w:szCs w:val="24"/>
              </w:rPr>
              <w:t>–</w:t>
            </w:r>
            <w:r>
              <w:rPr>
                <w:rFonts w:hint="eastAsia" w:ascii="华文细黑" w:hAnsi="华文细黑" w:eastAsia="华文细黑"/>
                <w:sz w:val="24"/>
                <w:szCs w:val="24"/>
              </w:rPr>
              <w:t xml:space="preserve"> 14.9 </w:t>
            </w:r>
            <w:r>
              <w:rPr>
                <w:rFonts w:ascii="华文细黑" w:hAnsi="华文细黑" w:eastAsia="华文细黑"/>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689" w:type="dxa"/>
            <w:vMerge w:val="continue"/>
            <w:vAlign w:val="center"/>
          </w:tcPr>
          <w:p>
            <w:pPr>
              <w:jc w:val="center"/>
              <w:rPr>
                <w:rFonts w:ascii="华文细黑" w:hAnsi="华文细黑" w:eastAsia="华文细黑"/>
                <w:sz w:val="24"/>
                <w:szCs w:val="24"/>
              </w:rPr>
            </w:pPr>
          </w:p>
        </w:tc>
        <w:tc>
          <w:tcPr>
            <w:tcW w:w="1116" w:type="dxa"/>
            <w:vAlign w:val="center"/>
          </w:tcPr>
          <w:p>
            <w:pPr>
              <w:jc w:val="center"/>
              <w:rPr>
                <w:rFonts w:ascii="华文细黑" w:hAnsi="华文细黑" w:eastAsia="华文细黑"/>
                <w:sz w:val="24"/>
                <w:szCs w:val="24"/>
              </w:rPr>
            </w:pPr>
            <w:r>
              <w:rPr>
                <w:rFonts w:hint="eastAsia" w:ascii="华文细黑" w:hAnsi="华文细黑" w:eastAsia="华文细黑"/>
                <w:sz w:val="24"/>
                <w:szCs w:val="24"/>
              </w:rPr>
              <w:t>浮充</w:t>
            </w:r>
          </w:p>
          <w:p>
            <w:pPr>
              <w:jc w:val="center"/>
              <w:rPr>
                <w:rFonts w:ascii="华文细黑" w:hAnsi="华文细黑" w:eastAsia="华文细黑"/>
                <w:sz w:val="24"/>
                <w:szCs w:val="24"/>
              </w:rPr>
            </w:pPr>
            <w:r>
              <w:rPr>
                <w:rFonts w:hint="eastAsia" w:ascii="华文细黑" w:hAnsi="华文细黑" w:eastAsia="华文细黑"/>
                <w:sz w:val="24"/>
                <w:szCs w:val="24"/>
              </w:rPr>
              <w:t>使用</w:t>
            </w:r>
          </w:p>
        </w:tc>
        <w:tc>
          <w:tcPr>
            <w:tcW w:w="6379" w:type="dxa"/>
            <w:gridSpan w:val="2"/>
            <w:vAlign w:val="center"/>
          </w:tcPr>
          <w:p>
            <w:pPr>
              <w:jc w:val="center"/>
              <w:rPr>
                <w:rFonts w:ascii="华文细黑" w:hAnsi="华文细黑" w:eastAsia="华文细黑"/>
                <w:sz w:val="24"/>
                <w:szCs w:val="24"/>
              </w:rPr>
            </w:pPr>
            <w:r>
              <w:rPr>
                <w:rFonts w:hint="eastAsia" w:ascii="华文细黑" w:hAnsi="华文细黑" w:eastAsia="华文细黑"/>
                <w:sz w:val="24"/>
                <w:szCs w:val="24"/>
              </w:rPr>
              <w:t xml:space="preserve">恒压13.5 </w:t>
            </w:r>
            <w:r>
              <w:rPr>
                <w:rFonts w:ascii="华文细黑" w:hAnsi="华文细黑" w:eastAsia="华文细黑"/>
                <w:sz w:val="24"/>
                <w:szCs w:val="24"/>
              </w:rPr>
              <w:t>–</w:t>
            </w:r>
            <w:r>
              <w:rPr>
                <w:rFonts w:hint="eastAsia" w:ascii="华文细黑" w:hAnsi="华文细黑" w:eastAsia="华文细黑"/>
                <w:sz w:val="24"/>
                <w:szCs w:val="24"/>
              </w:rPr>
              <w:t xml:space="preserve"> 13.8 </w:t>
            </w:r>
            <w:r>
              <w:rPr>
                <w:rFonts w:ascii="华文细黑" w:hAnsi="华文细黑" w:eastAsia="华文细黑"/>
                <w:sz w:val="24"/>
                <w:szCs w:val="24"/>
              </w:rPr>
              <w:t>V</w:t>
            </w:r>
          </w:p>
        </w:tc>
      </w:tr>
    </w:tbl>
    <w:p>
      <w:pPr>
        <w:autoSpaceDE w:val="0"/>
        <w:autoSpaceDN w:val="0"/>
        <w:adjustRightInd w:val="0"/>
        <w:jc w:val="left"/>
        <w:rPr>
          <w:rFonts w:ascii="华文细黑" w:hAnsi="华文细黑" w:eastAsia="华文细黑"/>
          <w:b/>
          <w:color w:val="993366"/>
          <w:kern w:val="0"/>
          <w:sz w:val="24"/>
          <w:szCs w:val="24"/>
        </w:rPr>
      </w:pPr>
      <w:r>
        <w:rPr>
          <w:rFonts w:ascii="华文细黑" w:hAnsi="华文细黑" w:eastAsia="华文细黑"/>
          <w:b/>
          <w:color w:val="993366"/>
          <w:kern w:val="0"/>
          <w:sz w:val="24"/>
          <w:szCs w:val="24"/>
        </w:rPr>
        <w:t xml:space="preserve"> </w:t>
      </w:r>
      <w:r>
        <w:rPr>
          <w:rFonts w:ascii="华文细黑" w:hAnsi="华文细黑" w:eastAsia="华文细黑"/>
          <w:b/>
          <w:color w:val="auto"/>
          <w:kern w:val="0"/>
          <w:sz w:val="24"/>
          <w:szCs w:val="24"/>
        </w:rPr>
        <w:t xml:space="preserve"> </w:t>
      </w:r>
      <w:r>
        <w:rPr>
          <w:rFonts w:hint="eastAsia" w:ascii="华文细黑" w:hAnsi="华文细黑" w:eastAsia="华文细黑"/>
          <w:b/>
          <w:color w:val="auto"/>
          <w:kern w:val="0"/>
          <w:sz w:val="24"/>
          <w:szCs w:val="24"/>
        </w:rPr>
        <w:t>外观尺寸不大于该图</w:t>
      </w:r>
      <w:r>
        <w:rPr>
          <w:rFonts w:ascii="华文细黑" w:hAnsi="华文细黑" w:eastAsia="华文细黑"/>
          <w:b/>
          <w:color w:val="auto"/>
          <w:kern w:val="0"/>
          <w:sz w:val="24"/>
          <w:szCs w:val="24"/>
        </w:rPr>
        <w:t>：</w:t>
      </w:r>
      <w:r>
        <w:rPr>
          <w:rFonts w:hint="eastAsia" w:ascii="华文细黑" w:hAnsi="华文细黑" w:eastAsia="华文细黑"/>
          <w:color w:val="auto"/>
          <w:kern w:val="0"/>
          <w:sz w:val="24"/>
          <w:szCs w:val="24"/>
        </w:rPr>
        <w:t xml:space="preserve"> </w:t>
      </w:r>
      <w:r>
        <w:rPr>
          <w:rFonts w:ascii="华文细黑" w:hAnsi="华文细黑" w:eastAsia="华文细黑" w:cs="宋体"/>
          <w:kern w:val="0"/>
          <w:sz w:val="24"/>
          <w:szCs w:val="24"/>
        </w:rPr>
        <w:drawing>
          <wp:inline distT="0" distB="0" distL="0" distR="0">
            <wp:extent cx="2628900" cy="2028825"/>
            <wp:effectExtent l="0" t="0" r="0" b="9525"/>
            <wp:docPr id="23" name="图片 10" descr="070607-赛能电池参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070607-赛能电池参报"/>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28900" cy="2028825"/>
                    </a:xfrm>
                    <a:prstGeom prst="rect">
                      <a:avLst/>
                    </a:prstGeom>
                    <a:noFill/>
                    <a:ln>
                      <a:noFill/>
                    </a:ln>
                  </pic:spPr>
                </pic:pic>
              </a:graphicData>
            </a:graphic>
          </wp:inline>
        </w:drawing>
      </w:r>
      <w:r>
        <w:rPr>
          <w:rFonts w:hint="eastAsia" w:ascii="华文细黑" w:hAnsi="华文细黑" w:eastAsia="华文细黑" w:cs="宋体"/>
          <w:kern w:val="0"/>
          <w:sz w:val="24"/>
          <w:szCs w:val="24"/>
        </w:rPr>
        <w:t xml:space="preserve">       </w:t>
      </w:r>
    </w:p>
    <w:p>
      <w:pPr>
        <w:autoSpaceDE w:val="0"/>
        <w:autoSpaceDN w:val="0"/>
        <w:adjustRightInd w:val="0"/>
        <w:spacing w:line="320" w:lineRule="exact"/>
        <w:rPr>
          <w:rFonts w:ascii="华文细黑" w:hAnsi="华文细黑" w:eastAsia="华文细黑"/>
          <w:b/>
          <w:sz w:val="24"/>
          <w:szCs w:val="24"/>
          <w:lang w:val="zh-CN"/>
        </w:rPr>
      </w:pPr>
    </w:p>
    <w:p>
      <w:pPr>
        <w:pStyle w:val="57"/>
        <w:numPr>
          <w:ilvl w:val="0"/>
          <w:numId w:val="3"/>
        </w:numPr>
        <w:ind w:firstLineChars="0"/>
        <w:rPr>
          <w:rFonts w:hint="eastAsia" w:ascii="华文细黑" w:hAnsi="华文细黑" w:eastAsia="华文细黑" w:cs="Times New Roman"/>
          <w:kern w:val="2"/>
          <w:sz w:val="24"/>
          <w:szCs w:val="24"/>
          <w:lang w:val="zh-CN" w:eastAsia="zh-CN" w:bidi="ar-SA"/>
        </w:rPr>
      </w:pPr>
      <w:r>
        <w:rPr>
          <w:rFonts w:hint="eastAsia" w:ascii="华文细黑" w:hAnsi="华文细黑" w:eastAsia="华文细黑" w:cs="Times New Roman"/>
          <w:kern w:val="2"/>
          <w:sz w:val="24"/>
          <w:szCs w:val="24"/>
          <w:lang w:val="zh-CN" w:eastAsia="zh-CN" w:bidi="ar-SA"/>
        </w:rPr>
        <w:t>蓄电池的性能特点</w:t>
      </w:r>
    </w:p>
    <w:p>
      <w:pPr>
        <w:autoSpaceDE w:val="0"/>
        <w:autoSpaceDN w:val="0"/>
        <w:adjustRightInd w:val="0"/>
        <w:spacing w:line="320" w:lineRule="exact"/>
        <w:ind w:left="482" w:hanging="482"/>
        <w:rPr>
          <w:rFonts w:ascii="华文细黑" w:hAnsi="华文细黑" w:eastAsia="华文细黑"/>
          <w:b/>
          <w:sz w:val="24"/>
          <w:szCs w:val="24"/>
          <w:lang w:val="zh-CN"/>
        </w:rPr>
      </w:pPr>
    </w:p>
    <w:p>
      <w:pPr>
        <w:autoSpaceDE w:val="0"/>
        <w:autoSpaceDN w:val="0"/>
        <w:adjustRightInd w:val="0"/>
        <w:spacing w:line="360" w:lineRule="auto"/>
        <w:ind w:left="954" w:hanging="954"/>
        <w:rPr>
          <w:rFonts w:ascii="华文细黑" w:hAnsi="华文细黑" w:eastAsia="华文细黑"/>
          <w:sz w:val="24"/>
          <w:szCs w:val="24"/>
          <w:lang w:val="zh-CN"/>
        </w:rPr>
      </w:pPr>
      <w:r>
        <w:rPr>
          <w:rFonts w:hint="eastAsia" w:ascii="华文细黑" w:hAnsi="华文细黑" w:eastAsia="华文细黑"/>
          <w:b/>
          <w:sz w:val="24"/>
          <w:szCs w:val="24"/>
          <w:lang w:val="zh-CN"/>
        </w:rPr>
        <w:t>密封性：</w:t>
      </w:r>
      <w:r>
        <w:rPr>
          <w:rFonts w:hint="eastAsia" w:ascii="华文细黑" w:hAnsi="华文细黑" w:eastAsia="华文细黑"/>
          <w:sz w:val="24"/>
          <w:szCs w:val="24"/>
          <w:lang w:val="zh-CN"/>
        </w:rPr>
        <w:t>采用电池槽盖、极柱双重密封设计，确保不漏酸。可靠的安全阀可防止外部空气和尘埃进入电池内部。</w:t>
      </w:r>
      <w:r>
        <w:rPr>
          <w:rFonts w:ascii="华文细黑" w:hAnsi="华文细黑" w:eastAsia="华文细黑"/>
          <w:sz w:val="24"/>
          <w:szCs w:val="24"/>
          <w:lang w:val="zh-CN"/>
        </w:rPr>
        <w:t xml:space="preserve"> </w:t>
      </w:r>
    </w:p>
    <w:p>
      <w:pPr>
        <w:autoSpaceDE w:val="0"/>
        <w:autoSpaceDN w:val="0"/>
        <w:adjustRightInd w:val="0"/>
        <w:spacing w:line="360" w:lineRule="auto"/>
        <w:ind w:left="482" w:hanging="482"/>
        <w:rPr>
          <w:rFonts w:ascii="华文细黑" w:hAnsi="华文细黑" w:eastAsia="华文细黑"/>
          <w:sz w:val="24"/>
          <w:szCs w:val="24"/>
          <w:lang w:val="zh-CN"/>
        </w:rPr>
      </w:pPr>
      <w:r>
        <w:rPr>
          <w:rFonts w:hint="eastAsia" w:ascii="华文细黑" w:hAnsi="华文细黑" w:eastAsia="华文细黑"/>
          <w:b/>
          <w:sz w:val="24"/>
          <w:szCs w:val="24"/>
          <w:lang w:val="zh-CN"/>
        </w:rPr>
        <w:t>免维护</w:t>
      </w:r>
      <w:r>
        <w:rPr>
          <w:rFonts w:hint="eastAsia" w:ascii="华文细黑" w:hAnsi="华文细黑" w:eastAsia="华文细黑"/>
          <w:sz w:val="24"/>
          <w:szCs w:val="24"/>
          <w:lang w:val="zh-CN"/>
        </w:rPr>
        <w:t>：</w:t>
      </w:r>
      <w:r>
        <w:rPr>
          <w:rFonts w:ascii="华文细黑" w:hAnsi="华文细黑" w:eastAsia="华文细黑"/>
          <w:sz w:val="24"/>
          <w:szCs w:val="24"/>
          <w:lang w:val="zh-CN"/>
        </w:rPr>
        <w:t xml:space="preserve"> H</w:t>
      </w:r>
      <w:r>
        <w:rPr>
          <w:rFonts w:ascii="华文细黑" w:hAnsi="华文细黑" w:eastAsia="华文细黑"/>
          <w:sz w:val="24"/>
          <w:szCs w:val="24"/>
          <w:vertAlign w:val="subscript"/>
          <w:lang w:val="zh-CN"/>
        </w:rPr>
        <w:t>2</w:t>
      </w:r>
      <w:r>
        <w:rPr>
          <w:rFonts w:ascii="华文细黑" w:hAnsi="华文细黑" w:eastAsia="华文细黑"/>
          <w:sz w:val="24"/>
          <w:szCs w:val="24"/>
          <w:lang w:val="zh-CN"/>
        </w:rPr>
        <w:t xml:space="preserve">O </w:t>
      </w:r>
      <w:r>
        <w:rPr>
          <w:rFonts w:hint="eastAsia" w:ascii="华文细黑" w:hAnsi="华文细黑" w:eastAsia="华文细黑"/>
          <w:sz w:val="24"/>
          <w:szCs w:val="24"/>
          <w:lang w:val="zh-CN"/>
        </w:rPr>
        <w:t>再生能力强，密封反应效率高，在整个电池的使用过程中无需补水或加酸维护。</w:t>
      </w:r>
      <w:r>
        <w:rPr>
          <w:rFonts w:ascii="华文细黑" w:hAnsi="华文细黑" w:eastAsia="华文细黑"/>
          <w:sz w:val="24"/>
          <w:szCs w:val="24"/>
          <w:lang w:val="zh-CN"/>
        </w:rPr>
        <w:t xml:space="preserve"> </w:t>
      </w:r>
    </w:p>
    <w:p>
      <w:pPr>
        <w:autoSpaceDE w:val="0"/>
        <w:autoSpaceDN w:val="0"/>
        <w:adjustRightInd w:val="0"/>
        <w:spacing w:line="360" w:lineRule="auto"/>
        <w:ind w:left="1041" w:hanging="1041"/>
        <w:rPr>
          <w:rFonts w:ascii="华文细黑" w:hAnsi="华文细黑" w:eastAsia="华文细黑"/>
          <w:sz w:val="24"/>
          <w:szCs w:val="24"/>
        </w:rPr>
      </w:pPr>
      <w:r>
        <w:rPr>
          <w:rFonts w:hint="eastAsia" w:ascii="华文细黑" w:hAnsi="华文细黑" w:eastAsia="华文细黑"/>
          <w:b/>
          <w:sz w:val="24"/>
          <w:szCs w:val="24"/>
          <w:lang w:val="zh-CN"/>
        </w:rPr>
        <w:t>安全可靠</w:t>
      </w:r>
      <w:r>
        <w:rPr>
          <w:rFonts w:hint="eastAsia" w:ascii="华文细黑" w:hAnsi="华文细黑" w:eastAsia="华文细黑"/>
          <w:sz w:val="24"/>
          <w:szCs w:val="24"/>
          <w:lang w:val="zh-CN"/>
        </w:rPr>
        <w:t>：特殊的密封结构，无酸液溢出，保证使用设备无腐蚀。防爆安全阀及其特殊结构起防爆作用，使电池在整个使用过程中更加安全可靠，充分保证了人，机安全。</w:t>
      </w:r>
    </w:p>
    <w:p>
      <w:pPr>
        <w:autoSpaceDE w:val="0"/>
        <w:autoSpaceDN w:val="0"/>
        <w:adjustRightInd w:val="0"/>
        <w:spacing w:line="360" w:lineRule="auto"/>
        <w:ind w:left="954" w:hanging="954"/>
        <w:jc w:val="left"/>
        <w:rPr>
          <w:rFonts w:ascii="华文细黑" w:hAnsi="华文细黑" w:eastAsia="华文细黑"/>
          <w:kern w:val="0"/>
          <w:sz w:val="24"/>
          <w:szCs w:val="24"/>
          <w:lang w:val="zh-CN"/>
        </w:rPr>
      </w:pPr>
      <w:r>
        <w:rPr>
          <w:rFonts w:hint="eastAsia" w:ascii="华文细黑" w:hAnsi="华文细黑" w:eastAsia="华文细黑"/>
          <w:b/>
          <w:kern w:val="0"/>
          <w:sz w:val="24"/>
          <w:szCs w:val="24"/>
          <w:lang w:val="zh-CN"/>
        </w:rPr>
        <w:t>长寿命</w:t>
      </w:r>
      <w:r>
        <w:rPr>
          <w:rFonts w:hint="eastAsia" w:ascii="华文细黑" w:hAnsi="华文细黑" w:eastAsia="华文细黑"/>
          <w:kern w:val="0"/>
          <w:sz w:val="24"/>
          <w:szCs w:val="24"/>
          <w:lang w:val="zh-CN"/>
        </w:rPr>
        <w:t>：电池的循环寿命和浮充寿命显著延长。耐腐蚀材料的使用和极高的密封反应效率保证</w:t>
      </w:r>
      <w:r>
        <w:rPr>
          <w:rFonts w:hint="eastAsia" w:ascii="华文细黑" w:hAnsi="华文细黑" w:eastAsia="华文细黑"/>
          <w:kern w:val="0"/>
          <w:sz w:val="24"/>
          <w:szCs w:val="24"/>
        </w:rPr>
        <w:t>蓄电池</w:t>
      </w:r>
      <w:r>
        <w:rPr>
          <w:rFonts w:hint="eastAsia" w:ascii="华文细黑" w:hAnsi="华文细黑" w:eastAsia="华文细黑"/>
          <w:kern w:val="0"/>
          <w:sz w:val="24"/>
          <w:szCs w:val="24"/>
          <w:lang w:val="zh-CN"/>
        </w:rPr>
        <w:t>的长寿命。</w:t>
      </w:r>
    </w:p>
    <w:p>
      <w:pPr>
        <w:autoSpaceDE w:val="0"/>
        <w:autoSpaceDN w:val="0"/>
        <w:adjustRightInd w:val="0"/>
        <w:spacing w:line="360" w:lineRule="auto"/>
        <w:jc w:val="left"/>
        <w:rPr>
          <w:rFonts w:ascii="华文细黑" w:hAnsi="华文细黑" w:eastAsia="华文细黑"/>
          <w:kern w:val="0"/>
          <w:sz w:val="24"/>
          <w:szCs w:val="24"/>
        </w:rPr>
      </w:pPr>
      <w:r>
        <w:rPr>
          <w:rFonts w:hint="eastAsia" w:ascii="华文细黑" w:hAnsi="华文细黑" w:eastAsia="华文细黑"/>
          <w:b/>
          <w:kern w:val="0"/>
          <w:sz w:val="24"/>
          <w:szCs w:val="24"/>
          <w:lang w:val="zh-CN"/>
        </w:rPr>
        <w:t>性能高</w:t>
      </w:r>
    </w:p>
    <w:p>
      <w:pPr>
        <w:numPr>
          <w:ilvl w:val="0"/>
          <w:numId w:val="4"/>
        </w:numPr>
        <w:tabs>
          <w:tab w:val="left" w:pos="375"/>
        </w:tabs>
        <w:autoSpaceDE w:val="0"/>
        <w:autoSpaceDN w:val="0"/>
        <w:adjustRightInd w:val="0"/>
        <w:spacing w:before="100" w:after="100" w:line="360" w:lineRule="auto"/>
        <w:jc w:val="left"/>
        <w:rPr>
          <w:rFonts w:ascii="华文细黑" w:hAnsi="华文细黑" w:eastAsia="华文细黑"/>
          <w:kern w:val="0"/>
          <w:sz w:val="24"/>
          <w:szCs w:val="24"/>
          <w:lang w:val="zh-CN"/>
        </w:rPr>
      </w:pPr>
      <w:r>
        <w:rPr>
          <w:rFonts w:hint="eastAsia" w:ascii="华文细黑" w:hAnsi="华文细黑" w:eastAsia="华文细黑"/>
          <w:kern w:val="0"/>
          <w:sz w:val="24"/>
          <w:szCs w:val="24"/>
          <w:lang w:val="zh-CN"/>
        </w:rPr>
        <w:t>体重比能量高，内阻小，输出功率高。</w:t>
      </w:r>
    </w:p>
    <w:p>
      <w:pPr>
        <w:numPr>
          <w:ilvl w:val="0"/>
          <w:numId w:val="4"/>
        </w:numPr>
        <w:tabs>
          <w:tab w:val="left" w:pos="375"/>
        </w:tabs>
        <w:autoSpaceDE w:val="0"/>
        <w:autoSpaceDN w:val="0"/>
        <w:adjustRightInd w:val="0"/>
        <w:spacing w:before="100" w:after="100" w:line="360" w:lineRule="auto"/>
        <w:jc w:val="left"/>
        <w:rPr>
          <w:rFonts w:ascii="华文细黑" w:hAnsi="华文细黑" w:eastAsia="华文细黑"/>
          <w:kern w:val="0"/>
          <w:sz w:val="24"/>
          <w:szCs w:val="24"/>
          <w:lang w:val="zh-CN"/>
        </w:rPr>
      </w:pPr>
      <w:r>
        <w:rPr>
          <w:rFonts w:hint="eastAsia" w:ascii="华文细黑" w:hAnsi="华文细黑" w:eastAsia="华文细黑"/>
          <w:kern w:val="0"/>
          <w:sz w:val="24"/>
          <w:szCs w:val="24"/>
          <w:lang w:val="zh-CN"/>
        </w:rPr>
        <w:t>充放电能力：电池内阻小，充放电能力强。</w:t>
      </w:r>
    </w:p>
    <w:p>
      <w:pPr>
        <w:numPr>
          <w:ilvl w:val="0"/>
          <w:numId w:val="4"/>
        </w:numPr>
        <w:tabs>
          <w:tab w:val="left" w:pos="375"/>
        </w:tabs>
        <w:autoSpaceDE w:val="0"/>
        <w:autoSpaceDN w:val="0"/>
        <w:adjustRightInd w:val="0"/>
        <w:spacing w:before="100" w:after="100" w:line="360" w:lineRule="auto"/>
        <w:jc w:val="left"/>
        <w:rPr>
          <w:rFonts w:ascii="华文细黑" w:hAnsi="华文细黑" w:eastAsia="华文细黑"/>
          <w:kern w:val="0"/>
          <w:sz w:val="24"/>
          <w:szCs w:val="24"/>
          <w:lang w:val="zh-CN"/>
        </w:rPr>
      </w:pPr>
      <w:r>
        <w:rPr>
          <w:rFonts w:hint="eastAsia" w:ascii="华文细黑" w:hAnsi="华文细黑" w:eastAsia="华文细黑"/>
          <w:kern w:val="0"/>
          <w:sz w:val="24"/>
          <w:szCs w:val="24"/>
          <w:lang w:val="zh-CN"/>
        </w:rPr>
        <w:t>杂质污染低，电池的自放电控制在每个月</w:t>
      </w:r>
      <w:r>
        <w:rPr>
          <w:rFonts w:ascii="华文细黑" w:hAnsi="华文细黑" w:eastAsia="华文细黑"/>
          <w:kern w:val="0"/>
          <w:sz w:val="24"/>
          <w:szCs w:val="24"/>
          <w:lang w:val="zh-CN"/>
        </w:rPr>
        <w:t>3%</w:t>
      </w:r>
      <w:r>
        <w:rPr>
          <w:rFonts w:hint="eastAsia" w:ascii="华文细黑" w:hAnsi="华文细黑" w:eastAsia="华文细黑"/>
          <w:kern w:val="0"/>
          <w:sz w:val="24"/>
          <w:szCs w:val="24"/>
          <w:lang w:val="zh-CN"/>
        </w:rPr>
        <w:t>以下（</w:t>
      </w:r>
      <w:r>
        <w:rPr>
          <w:rFonts w:ascii="华文细黑" w:hAnsi="华文细黑" w:eastAsia="华文细黑"/>
          <w:kern w:val="0"/>
          <w:sz w:val="24"/>
          <w:szCs w:val="24"/>
          <w:lang w:val="zh-CN"/>
        </w:rPr>
        <w:t>20</w:t>
      </w:r>
      <w:r>
        <w:rPr>
          <w:rFonts w:hint="eastAsia" w:ascii="华文细黑" w:hAnsi="华文细黑" w:eastAsia="华文细黑"/>
          <w:kern w:val="0"/>
          <w:sz w:val="24"/>
          <w:szCs w:val="24"/>
          <w:lang w:val="zh-CN"/>
        </w:rPr>
        <w:t>℃）。</w:t>
      </w:r>
    </w:p>
    <w:p>
      <w:pPr>
        <w:numPr>
          <w:ilvl w:val="0"/>
          <w:numId w:val="4"/>
        </w:numPr>
        <w:tabs>
          <w:tab w:val="left" w:pos="375"/>
        </w:tabs>
        <w:autoSpaceDE w:val="0"/>
        <w:autoSpaceDN w:val="0"/>
        <w:adjustRightInd w:val="0"/>
        <w:spacing w:before="100" w:after="100" w:line="360" w:lineRule="auto"/>
        <w:ind w:left="420" w:hanging="420"/>
        <w:jc w:val="left"/>
        <w:rPr>
          <w:rFonts w:ascii="华文细黑" w:hAnsi="华文细黑" w:eastAsia="华文细黑"/>
          <w:sz w:val="24"/>
          <w:szCs w:val="24"/>
          <w:lang w:val="zh-CN"/>
        </w:rPr>
      </w:pPr>
      <w:r>
        <w:rPr>
          <w:rFonts w:hint="eastAsia" w:ascii="华文细黑" w:hAnsi="华文细黑" w:eastAsia="华文细黑"/>
          <w:kern w:val="0"/>
          <w:sz w:val="24"/>
          <w:szCs w:val="24"/>
          <w:lang w:val="zh-CN"/>
        </w:rPr>
        <w:t>电池在浮充使用状态下无需均衡充电。</w:t>
      </w:r>
    </w:p>
    <w:p>
      <w:pPr>
        <w:autoSpaceDE w:val="0"/>
        <w:autoSpaceDN w:val="0"/>
        <w:adjustRightInd w:val="0"/>
        <w:spacing w:line="360" w:lineRule="auto"/>
        <w:ind w:left="482" w:hanging="482"/>
        <w:rPr>
          <w:rFonts w:ascii="华文细黑" w:hAnsi="华文细黑" w:eastAsia="华文细黑"/>
          <w:sz w:val="24"/>
          <w:szCs w:val="24"/>
          <w:lang w:val="zh-CN"/>
        </w:rPr>
      </w:pPr>
      <w:r>
        <w:rPr>
          <w:rFonts w:hint="eastAsia" w:ascii="华文细黑" w:hAnsi="华文细黑" w:eastAsia="华文细黑"/>
          <w:b/>
          <w:sz w:val="24"/>
          <w:szCs w:val="24"/>
          <w:lang w:val="zh-CN"/>
        </w:rPr>
        <w:t>温度适应性强：</w:t>
      </w:r>
      <w:r>
        <w:rPr>
          <w:rFonts w:hint="eastAsia" w:ascii="华文细黑" w:hAnsi="华文细黑" w:eastAsia="华文细黑"/>
          <w:sz w:val="24"/>
          <w:szCs w:val="24"/>
          <w:lang w:val="zh-CN"/>
        </w:rPr>
        <w:t>可在</w:t>
      </w:r>
      <w:r>
        <w:rPr>
          <w:rFonts w:ascii="华文细黑" w:hAnsi="华文细黑" w:eastAsia="华文细黑"/>
          <w:sz w:val="24"/>
          <w:szCs w:val="24"/>
          <w:lang w:val="zh-CN"/>
        </w:rPr>
        <w:t>-30</w:t>
      </w:r>
      <w:r>
        <w:rPr>
          <w:rFonts w:hint="eastAsia" w:ascii="华文细黑" w:hAnsi="华文细黑" w:eastAsia="华文细黑"/>
          <w:sz w:val="24"/>
          <w:szCs w:val="24"/>
          <w:lang w:val="zh-CN"/>
        </w:rPr>
        <w:t>～</w:t>
      </w:r>
      <w:r>
        <w:rPr>
          <w:rFonts w:ascii="华文细黑" w:hAnsi="华文细黑" w:eastAsia="华文细黑"/>
          <w:sz w:val="24"/>
          <w:szCs w:val="24"/>
          <w:lang w:val="zh-CN"/>
        </w:rPr>
        <w:t>50</w:t>
      </w:r>
      <w:r>
        <w:rPr>
          <w:rFonts w:hint="eastAsia" w:ascii="华文细黑" w:hAnsi="华文细黑" w:eastAsia="华文细黑"/>
          <w:sz w:val="24"/>
          <w:szCs w:val="24"/>
          <w:lang w:val="zh-CN"/>
        </w:rPr>
        <w:t>℃下安全使用。</w:t>
      </w:r>
    </w:p>
    <w:p>
      <w:pPr>
        <w:autoSpaceDE w:val="0"/>
        <w:autoSpaceDN w:val="0"/>
        <w:adjustRightInd w:val="0"/>
        <w:spacing w:line="360" w:lineRule="auto"/>
        <w:ind w:left="479" w:hanging="479"/>
        <w:rPr>
          <w:rFonts w:ascii="华文细黑" w:hAnsi="华文细黑" w:eastAsia="华文细黑"/>
          <w:sz w:val="24"/>
          <w:szCs w:val="24"/>
        </w:rPr>
      </w:pPr>
      <w:r>
        <w:rPr>
          <w:rFonts w:hint="eastAsia" w:ascii="华文细黑" w:hAnsi="华文细黑" w:eastAsia="华文细黑"/>
          <w:b/>
          <w:sz w:val="24"/>
          <w:szCs w:val="24"/>
          <w:lang w:val="zh-CN"/>
        </w:rPr>
        <w:t>使用简便：</w:t>
      </w:r>
      <w:r>
        <w:rPr>
          <w:rFonts w:hint="eastAsia" w:ascii="华文细黑" w:hAnsi="华文细黑" w:eastAsia="华文细黑"/>
          <w:sz w:val="24"/>
          <w:szCs w:val="24"/>
          <w:lang w:val="zh-CN"/>
        </w:rPr>
        <w:t>满荷电出厂，无游离电解液，电池可横向放置。</w:t>
      </w:r>
    </w:p>
    <w:p>
      <w:pPr>
        <w:autoSpaceDE w:val="0"/>
        <w:autoSpaceDN w:val="0"/>
        <w:adjustRightInd w:val="0"/>
        <w:spacing w:line="360" w:lineRule="auto"/>
        <w:ind w:left="1200" w:hanging="1200"/>
        <w:rPr>
          <w:rFonts w:ascii="华文细黑" w:hAnsi="华文细黑" w:eastAsia="华文细黑"/>
          <w:sz w:val="24"/>
          <w:szCs w:val="24"/>
          <w:lang w:val="zh-CN"/>
        </w:rPr>
      </w:pPr>
      <w:r>
        <w:rPr>
          <w:rFonts w:hint="eastAsia" w:ascii="华文细黑" w:hAnsi="华文细黑" w:eastAsia="华文细黑"/>
          <w:b/>
          <w:sz w:val="24"/>
          <w:szCs w:val="24"/>
        </w:rPr>
        <w:t>性价比高</w:t>
      </w:r>
      <w:r>
        <w:rPr>
          <w:rFonts w:hint="eastAsia" w:ascii="华文细黑" w:hAnsi="华文细黑" w:eastAsia="华文细黑"/>
          <w:b/>
          <w:sz w:val="24"/>
          <w:szCs w:val="24"/>
          <w:lang w:val="zh-CN"/>
        </w:rPr>
        <w:t>：</w:t>
      </w:r>
      <w:r>
        <w:rPr>
          <w:rFonts w:hint="eastAsia" w:ascii="华文细黑" w:hAnsi="华文细黑" w:eastAsia="华文细黑"/>
          <w:sz w:val="24"/>
          <w:szCs w:val="24"/>
          <w:lang w:val="zh-CN"/>
        </w:rPr>
        <w:t>蓄电池使用寿命3</w:t>
      </w:r>
      <w:r>
        <w:rPr>
          <w:rFonts w:hint="eastAsia" w:ascii="华文细黑" w:hAnsi="华文细黑" w:eastAsia="华文细黑"/>
          <w:sz w:val="24"/>
          <w:szCs w:val="24"/>
        </w:rPr>
        <w:t>-5</w:t>
      </w:r>
      <w:r>
        <w:rPr>
          <w:rFonts w:hint="eastAsia" w:ascii="华文细黑" w:hAnsi="华文细黑" w:eastAsia="华文细黑"/>
          <w:sz w:val="24"/>
          <w:szCs w:val="24"/>
          <w:lang w:val="zh-CN"/>
        </w:rPr>
        <w:t>年，维护成本低。</w:t>
      </w:r>
    </w:p>
    <w:p>
      <w:pPr>
        <w:autoSpaceDE w:val="0"/>
        <w:autoSpaceDN w:val="0"/>
        <w:adjustRightInd w:val="0"/>
        <w:spacing w:line="360" w:lineRule="auto"/>
        <w:ind w:left="1046" w:hanging="1046"/>
        <w:rPr>
          <w:rFonts w:ascii="华文细黑" w:hAnsi="华文细黑" w:eastAsia="华文细黑"/>
          <w:sz w:val="24"/>
          <w:szCs w:val="24"/>
        </w:rPr>
      </w:pPr>
    </w:p>
    <w:p>
      <w:pPr>
        <w:autoSpaceDE w:val="0"/>
        <w:autoSpaceDN w:val="0"/>
        <w:adjustRightInd w:val="0"/>
        <w:spacing w:line="360" w:lineRule="auto"/>
        <w:ind w:left="90"/>
        <w:rPr>
          <w:rFonts w:ascii="华文细黑" w:hAnsi="华文细黑" w:eastAsia="华文细黑"/>
          <w:vanish/>
          <w:sz w:val="24"/>
          <w:szCs w:val="24"/>
        </w:rPr>
      </w:pPr>
      <w:r>
        <w:rPr>
          <w:rFonts w:hint="eastAsia" w:ascii="华文细黑" w:hAnsi="华文细黑" w:eastAsia="华文细黑"/>
          <w:b/>
          <w:sz w:val="24"/>
          <w:szCs w:val="24"/>
          <w:lang w:val="zh-CN"/>
        </w:rPr>
        <w:t>绿色环保无污染：</w:t>
      </w:r>
      <w:r>
        <w:rPr>
          <w:rFonts w:hint="eastAsia" w:ascii="华文细黑" w:hAnsi="华文细黑" w:eastAsia="华文细黑"/>
          <w:sz w:val="24"/>
          <w:szCs w:val="24"/>
          <w:lang w:val="zh-CN"/>
        </w:rPr>
        <w:t>无漏液、无腐蚀，回收方便，不污染环境。</w:t>
      </w:r>
    </w:p>
    <w:p>
      <w:pPr>
        <w:autoSpaceDE w:val="0"/>
        <w:autoSpaceDN w:val="0"/>
        <w:adjustRightInd w:val="0"/>
        <w:spacing w:line="360" w:lineRule="auto"/>
        <w:rPr>
          <w:rFonts w:ascii="华文细黑" w:hAnsi="华文细黑" w:eastAsia="华文细黑"/>
          <w:vanish/>
          <w:sz w:val="24"/>
          <w:szCs w:val="24"/>
          <w:lang w:val="zh-CN"/>
        </w:rPr>
      </w:pPr>
    </w:p>
    <w:p>
      <w:pPr>
        <w:autoSpaceDE w:val="0"/>
        <w:autoSpaceDN w:val="0"/>
        <w:adjustRightInd w:val="0"/>
        <w:spacing w:line="360" w:lineRule="auto"/>
        <w:rPr>
          <w:rFonts w:ascii="华文细黑" w:hAnsi="华文细黑" w:eastAsia="华文细黑"/>
          <w:b/>
          <w:sz w:val="24"/>
          <w:szCs w:val="24"/>
          <w:lang w:val="zh-CN"/>
        </w:rPr>
      </w:pPr>
    </w:p>
    <w:p>
      <w:pPr>
        <w:pStyle w:val="57"/>
        <w:numPr>
          <w:ilvl w:val="0"/>
          <w:numId w:val="3"/>
        </w:numPr>
        <w:spacing w:line="360" w:lineRule="auto"/>
        <w:ind w:firstLineChars="0"/>
        <w:rPr>
          <w:rFonts w:hint="eastAsia" w:ascii="华文细黑" w:hAnsi="华文细黑" w:eastAsia="华文细黑" w:cs="Times New Roman"/>
          <w:kern w:val="2"/>
          <w:sz w:val="24"/>
          <w:szCs w:val="24"/>
          <w:lang w:val="zh-CN" w:eastAsia="zh-CN" w:bidi="ar-SA"/>
        </w:rPr>
      </w:pPr>
      <w:r>
        <w:rPr>
          <w:rFonts w:hint="eastAsia" w:ascii="华文细黑" w:hAnsi="华文细黑" w:eastAsia="华文细黑" w:cs="Times New Roman"/>
          <w:kern w:val="2"/>
          <w:sz w:val="24"/>
          <w:szCs w:val="24"/>
          <w:lang w:val="zh-CN" w:eastAsia="zh-CN" w:bidi="ar-SA"/>
        </w:rPr>
        <w:t>安装使用</w:t>
      </w:r>
    </w:p>
    <w:p>
      <w:pPr>
        <w:numPr>
          <w:ilvl w:val="0"/>
          <w:numId w:val="5"/>
        </w:numPr>
        <w:tabs>
          <w:tab w:val="left" w:pos="420"/>
        </w:tabs>
        <w:autoSpaceDE w:val="0"/>
        <w:autoSpaceDN w:val="0"/>
        <w:adjustRightInd w:val="0"/>
        <w:spacing w:line="360" w:lineRule="auto"/>
        <w:rPr>
          <w:rFonts w:ascii="华文细黑" w:hAnsi="华文细黑" w:eastAsia="华文细黑"/>
          <w:sz w:val="24"/>
          <w:szCs w:val="24"/>
          <w:lang w:val="zh-CN"/>
        </w:rPr>
      </w:pPr>
      <w:r>
        <w:rPr>
          <w:rFonts w:hint="eastAsia" w:ascii="华文细黑" w:hAnsi="华文细黑" w:eastAsia="华文细黑"/>
          <w:sz w:val="24"/>
          <w:szCs w:val="24"/>
          <w:lang w:val="zh-CN"/>
        </w:rPr>
        <w:t>安装前需检查蓄电池的外观（有无漏酸、破裂），电池数量，是否符合设备电压的要求及其配件是否齐全。</w:t>
      </w:r>
    </w:p>
    <w:p>
      <w:pPr>
        <w:numPr>
          <w:ilvl w:val="0"/>
          <w:numId w:val="5"/>
        </w:numPr>
        <w:tabs>
          <w:tab w:val="left" w:pos="420"/>
        </w:tabs>
        <w:autoSpaceDE w:val="0"/>
        <w:autoSpaceDN w:val="0"/>
        <w:adjustRightInd w:val="0"/>
        <w:spacing w:line="360" w:lineRule="auto"/>
        <w:rPr>
          <w:rFonts w:ascii="华文细黑" w:hAnsi="华文细黑" w:eastAsia="华文细黑"/>
          <w:sz w:val="24"/>
          <w:szCs w:val="24"/>
          <w:lang w:val="zh-CN"/>
        </w:rPr>
      </w:pPr>
      <w:r>
        <w:rPr>
          <w:rFonts w:hint="eastAsia" w:ascii="华文细黑" w:hAnsi="华文细黑" w:eastAsia="华文细黑"/>
          <w:sz w:val="24"/>
          <w:szCs w:val="24"/>
          <w:lang w:val="zh-CN"/>
        </w:rPr>
        <w:t>蓄电池的安装必须由专业人士进行。</w:t>
      </w:r>
    </w:p>
    <w:p>
      <w:pPr>
        <w:numPr>
          <w:ilvl w:val="0"/>
          <w:numId w:val="5"/>
        </w:numPr>
        <w:tabs>
          <w:tab w:val="left" w:pos="420"/>
        </w:tabs>
        <w:autoSpaceDE w:val="0"/>
        <w:autoSpaceDN w:val="0"/>
        <w:adjustRightInd w:val="0"/>
        <w:spacing w:line="360" w:lineRule="auto"/>
        <w:rPr>
          <w:rFonts w:ascii="华文细黑" w:hAnsi="华文细黑" w:eastAsia="华文细黑"/>
          <w:sz w:val="24"/>
          <w:szCs w:val="24"/>
          <w:lang w:val="zh-CN"/>
        </w:rPr>
      </w:pPr>
      <w:r>
        <w:rPr>
          <w:rFonts w:hint="eastAsia" w:ascii="华文细黑" w:hAnsi="华文细黑" w:eastAsia="华文细黑"/>
          <w:sz w:val="24"/>
          <w:szCs w:val="24"/>
          <w:lang w:val="zh-CN"/>
        </w:rPr>
        <w:t>安装搬运电池时请勿在端子处用力，以免损伤极柱。</w:t>
      </w:r>
    </w:p>
    <w:p>
      <w:pPr>
        <w:tabs>
          <w:tab w:val="left" w:pos="420"/>
        </w:tabs>
        <w:autoSpaceDE w:val="0"/>
        <w:autoSpaceDN w:val="0"/>
        <w:adjustRightInd w:val="0"/>
        <w:spacing w:line="360" w:lineRule="auto"/>
        <w:rPr>
          <w:rFonts w:ascii="华文细黑" w:hAnsi="华文细黑" w:eastAsia="华文细黑"/>
          <w:sz w:val="24"/>
          <w:szCs w:val="24"/>
          <w:lang w:val="zh-CN"/>
        </w:rPr>
      </w:pPr>
      <w:r>
        <w:rPr>
          <w:rFonts w:hint="eastAsia" w:ascii="华文细黑" w:hAnsi="华文细黑" w:eastAsia="华文细黑"/>
          <w:sz w:val="24"/>
          <w:szCs w:val="24"/>
          <w:lang w:val="zh-CN"/>
        </w:rPr>
        <w:t>电池在多只并联使用时，请按电池标识</w:t>
      </w:r>
      <w:r>
        <w:rPr>
          <w:rFonts w:ascii="华文细黑" w:hAnsi="华文细黑" w:eastAsia="华文细黑"/>
          <w:sz w:val="24"/>
          <w:szCs w:val="24"/>
          <w:lang w:val="zh-CN"/>
        </w:rPr>
        <w:t>“+”</w:t>
      </w:r>
      <w:r>
        <w:rPr>
          <w:rFonts w:hint="eastAsia" w:ascii="华文细黑" w:hAnsi="华文细黑" w:eastAsia="华文细黑"/>
          <w:sz w:val="24"/>
          <w:szCs w:val="24"/>
          <w:lang w:val="zh-CN"/>
        </w:rPr>
        <w:t>、</w:t>
      </w:r>
      <w:r>
        <w:rPr>
          <w:rFonts w:ascii="华文细黑" w:hAnsi="华文细黑" w:eastAsia="华文细黑"/>
          <w:sz w:val="24"/>
          <w:szCs w:val="24"/>
          <w:lang w:val="zh-CN"/>
        </w:rPr>
        <w:t>“</w:t>
      </w:r>
      <w:r>
        <w:rPr>
          <w:rFonts w:hint="eastAsia" w:ascii="华文细黑" w:hAnsi="华文细黑" w:eastAsia="华文细黑"/>
          <w:sz w:val="24"/>
          <w:szCs w:val="24"/>
          <w:lang w:val="zh-CN"/>
        </w:rPr>
        <w:t>－</w:t>
      </w:r>
      <w:r>
        <w:rPr>
          <w:rFonts w:ascii="华文细黑" w:hAnsi="华文细黑" w:eastAsia="华文细黑"/>
          <w:sz w:val="24"/>
          <w:szCs w:val="24"/>
          <w:lang w:val="zh-CN"/>
        </w:rPr>
        <w:t>”</w:t>
      </w:r>
      <w:r>
        <w:rPr>
          <w:rFonts w:hint="eastAsia" w:ascii="华文细黑" w:hAnsi="华文细黑" w:eastAsia="华文细黑"/>
          <w:sz w:val="24"/>
          <w:szCs w:val="24"/>
          <w:lang w:val="zh-CN"/>
        </w:rPr>
        <w:t>极性依次排列，电池之间的距离不能小于</w:t>
      </w:r>
      <w:r>
        <w:rPr>
          <w:rFonts w:ascii="华文细黑" w:hAnsi="华文细黑" w:eastAsia="华文细黑"/>
          <w:sz w:val="24"/>
          <w:szCs w:val="24"/>
          <w:lang w:val="zh-CN"/>
        </w:rPr>
        <w:t>15mm</w:t>
      </w:r>
      <w:r>
        <w:rPr>
          <w:rFonts w:hint="eastAsia" w:ascii="华文细黑" w:hAnsi="华文细黑" w:eastAsia="华文细黑"/>
          <w:sz w:val="24"/>
          <w:szCs w:val="24"/>
          <w:lang w:val="zh-CN"/>
        </w:rPr>
        <w:t>。</w:t>
      </w:r>
    </w:p>
    <w:p>
      <w:pPr>
        <w:tabs>
          <w:tab w:val="left" w:pos="420"/>
        </w:tabs>
        <w:autoSpaceDE w:val="0"/>
        <w:autoSpaceDN w:val="0"/>
        <w:adjustRightInd w:val="0"/>
        <w:spacing w:line="360" w:lineRule="auto"/>
        <w:rPr>
          <w:rFonts w:ascii="华文细黑" w:hAnsi="华文细黑" w:eastAsia="华文细黑"/>
          <w:sz w:val="24"/>
          <w:szCs w:val="24"/>
          <w:lang w:val="zh-CN"/>
        </w:rPr>
      </w:pPr>
      <w:r>
        <w:rPr>
          <w:rFonts w:hint="eastAsia" w:ascii="华文细黑" w:hAnsi="华文细黑" w:eastAsia="华文细黑"/>
          <w:sz w:val="24"/>
          <w:szCs w:val="24"/>
          <w:lang w:val="zh-CN"/>
        </w:rPr>
        <w:t>4 在电池连接过程中，请戴好防护手套和使用绝缘工具，以防止电击。</w:t>
      </w:r>
    </w:p>
    <w:p>
      <w:pPr>
        <w:tabs>
          <w:tab w:val="left" w:pos="420"/>
        </w:tabs>
        <w:autoSpaceDE w:val="0"/>
        <w:autoSpaceDN w:val="0"/>
        <w:adjustRightInd w:val="0"/>
        <w:spacing w:line="360" w:lineRule="auto"/>
        <w:rPr>
          <w:rFonts w:ascii="华文细黑" w:hAnsi="华文细黑" w:eastAsia="华文细黑"/>
          <w:sz w:val="24"/>
          <w:szCs w:val="24"/>
          <w:lang w:val="zh-CN"/>
        </w:rPr>
      </w:pPr>
      <w:r>
        <w:rPr>
          <w:rFonts w:hint="eastAsia" w:ascii="华文细黑" w:hAnsi="华文细黑" w:eastAsia="华文细黑" w:cs="华文细黑"/>
          <w:color w:val="000000"/>
          <w:sz w:val="24"/>
          <w:szCs w:val="24"/>
        </w:rPr>
        <w:t>5 中标单位要负责本次</w:t>
      </w:r>
      <w:r>
        <w:rPr>
          <w:rFonts w:hint="eastAsia" w:ascii="华文细黑" w:hAnsi="华文细黑" w:eastAsia="华文细黑"/>
          <w:color w:val="000000"/>
          <w:sz w:val="24"/>
          <w:szCs w:val="24"/>
          <w:lang w:val="zh-CN"/>
        </w:rPr>
        <w:t xml:space="preserve">电池的更换，检查和原有所有测试旧的电池，以及相应更换工作；负责根据现在机房设备负荷统计，对原有ATA UPS电源80K 1台、 20K    </w:t>
      </w:r>
      <w:r>
        <w:rPr>
          <w:rFonts w:hint="eastAsia" w:ascii="华文细黑" w:hAnsi="华文细黑" w:eastAsia="华文细黑"/>
          <w:sz w:val="24"/>
          <w:szCs w:val="24"/>
          <w:lang w:val="zh-CN"/>
        </w:rPr>
        <w:t>2台和10K 3台 UPS主机进行负载优化，并且完成对主配电柜、副配电柜的检查维护工作、一年提供两次电池维护，以及测试检查工作，不能影响机房的正常运行。</w:t>
      </w:r>
    </w:p>
    <w:p>
      <w:pPr>
        <w:pStyle w:val="57"/>
        <w:numPr>
          <w:ilvl w:val="0"/>
          <w:numId w:val="3"/>
        </w:numPr>
        <w:spacing w:line="360" w:lineRule="auto"/>
        <w:ind w:firstLineChars="0"/>
        <w:rPr>
          <w:rFonts w:hint="eastAsia" w:ascii="华文细黑" w:hAnsi="华文细黑" w:eastAsia="华文细黑" w:cs="Times New Roman"/>
          <w:kern w:val="2"/>
          <w:sz w:val="24"/>
          <w:szCs w:val="24"/>
          <w:lang w:val="zh-CN" w:eastAsia="zh-CN" w:bidi="ar-SA"/>
        </w:rPr>
      </w:pPr>
      <w:r>
        <w:rPr>
          <w:rFonts w:hint="eastAsia" w:ascii="华文细黑" w:hAnsi="华文细黑" w:eastAsia="华文细黑" w:cs="Times New Roman"/>
          <w:kern w:val="2"/>
          <w:sz w:val="24"/>
          <w:szCs w:val="24"/>
          <w:lang w:val="en-US" w:eastAsia="zh-CN" w:bidi="ar-SA"/>
        </w:rPr>
        <w:t xml:space="preserve"> </w:t>
      </w:r>
      <w:r>
        <w:rPr>
          <w:rFonts w:hint="eastAsia" w:ascii="华文细黑" w:hAnsi="华文细黑" w:eastAsia="华文细黑" w:cs="Times New Roman"/>
          <w:kern w:val="2"/>
          <w:sz w:val="24"/>
          <w:szCs w:val="24"/>
          <w:lang w:val="zh-CN" w:eastAsia="zh-CN" w:bidi="ar-SA"/>
        </w:rPr>
        <w:t>维保说明</w:t>
      </w:r>
    </w:p>
    <w:p>
      <w:pPr>
        <w:autoSpaceDE w:val="0"/>
        <w:autoSpaceDN w:val="0"/>
        <w:adjustRightInd w:val="0"/>
        <w:spacing w:line="360" w:lineRule="auto"/>
        <w:ind w:left="-140" w:leftChars="-50" w:firstLine="720" w:firstLineChars="300"/>
        <w:rPr>
          <w:rFonts w:ascii="华文细黑" w:hAnsi="华文细黑" w:eastAsia="华文细黑"/>
          <w:sz w:val="24"/>
          <w:szCs w:val="24"/>
          <w:lang w:val="zh-CN"/>
        </w:rPr>
      </w:pPr>
      <w:r>
        <w:rPr>
          <w:rFonts w:hint="eastAsia" w:ascii="华文细黑" w:hAnsi="华文细黑" w:eastAsia="华文细黑"/>
          <w:sz w:val="24"/>
          <w:szCs w:val="24"/>
          <w:lang w:val="en-US" w:eastAsia="zh-CN"/>
        </w:rPr>
        <w:t>1.</w:t>
      </w:r>
      <w:r>
        <w:rPr>
          <w:rFonts w:hint="eastAsia" w:ascii="华文细黑" w:hAnsi="华文细黑" w:eastAsia="华文细黑"/>
          <w:sz w:val="24"/>
          <w:szCs w:val="24"/>
          <w:lang w:val="zh-CN"/>
        </w:rPr>
        <w:t>竞标单位需要免费提供ATA -80K、ATA-20K UPS主机维护保养一年，对中心机房原电池进行免费维护一年。</w:t>
      </w:r>
    </w:p>
    <w:p>
      <w:pPr>
        <w:autoSpaceDE w:val="0"/>
        <w:autoSpaceDN w:val="0"/>
        <w:adjustRightInd w:val="0"/>
        <w:spacing w:line="360" w:lineRule="auto"/>
        <w:ind w:firstLine="480" w:firstLineChars="200"/>
        <w:rPr>
          <w:rFonts w:ascii="华文细黑" w:hAnsi="华文细黑" w:eastAsia="华文细黑"/>
          <w:sz w:val="24"/>
          <w:szCs w:val="24"/>
          <w:lang w:val="zh-CN"/>
        </w:rPr>
      </w:pPr>
      <w:r>
        <w:rPr>
          <w:rFonts w:hint="eastAsia" w:ascii="华文细黑" w:hAnsi="华文细黑" w:eastAsia="华文细黑"/>
          <w:sz w:val="24"/>
          <w:szCs w:val="24"/>
          <w:lang w:val="en-US" w:eastAsia="zh-CN"/>
        </w:rPr>
        <w:t>2.</w:t>
      </w:r>
      <w:r>
        <w:rPr>
          <w:rFonts w:hint="eastAsia" w:ascii="华文细黑" w:hAnsi="华文细黑" w:eastAsia="华文细黑"/>
          <w:sz w:val="24"/>
          <w:szCs w:val="24"/>
          <w:lang w:val="zh-CN"/>
        </w:rPr>
        <w:t>因学校UPS主机已使用近10年，竞标单位免费为学校提供20KVA、10KVA</w:t>
      </w:r>
      <w:r>
        <w:rPr>
          <w:rFonts w:ascii="华文细黑" w:hAnsi="华文细黑" w:eastAsia="华文细黑"/>
          <w:sz w:val="24"/>
          <w:szCs w:val="24"/>
          <w:lang w:val="zh-CN"/>
        </w:rPr>
        <w:t xml:space="preserve">  </w:t>
      </w:r>
      <w:r>
        <w:rPr>
          <w:rFonts w:hint="eastAsia" w:ascii="华文细黑" w:hAnsi="华文细黑" w:eastAsia="华文细黑"/>
          <w:sz w:val="24"/>
          <w:szCs w:val="24"/>
          <w:lang w:val="zh-CN"/>
        </w:rPr>
        <w:t>UPS工频机各一台备用服务，保证1小时内正常恢复供电，待质保期满后，备用机方可撤离。</w:t>
      </w:r>
    </w:p>
    <w:p>
      <w:pPr>
        <w:spacing w:line="360" w:lineRule="auto"/>
        <w:ind w:firstLine="360" w:firstLineChars="150"/>
        <w:rPr>
          <w:rFonts w:ascii="华文细黑" w:hAnsi="华文细黑" w:eastAsia="华文细黑"/>
          <w:sz w:val="24"/>
          <w:szCs w:val="24"/>
        </w:rPr>
      </w:pPr>
      <w:r>
        <w:rPr>
          <w:rFonts w:hint="eastAsia" w:ascii="华文细黑" w:hAnsi="华文细黑" w:eastAsia="华文细黑" w:cs="华文细黑"/>
          <w:sz w:val="24"/>
          <w:szCs w:val="24"/>
        </w:rPr>
        <w:t>备注：以上技术参数为最低配置要求，竞标单位所投设备不能低于以上配置要求。有不能满足要求的供应商将失去成为成交供应商的资格。</w:t>
      </w: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center"/>
        <w:outlineLvl w:val="0"/>
        <w:rPr>
          <w:rFonts w:ascii="华文细黑" w:hAnsi="华文细黑" w:eastAsia="华文细黑"/>
          <w:b/>
          <w:bCs/>
          <w:color w:val="auto"/>
          <w:sz w:val="30"/>
          <w:szCs w:val="30"/>
        </w:rPr>
      </w:pPr>
      <w:bookmarkStart w:id="55" w:name="_Toc13879"/>
      <w:r>
        <w:rPr>
          <w:rFonts w:hint="eastAsia" w:ascii="华文细黑" w:hAnsi="华文细黑" w:eastAsia="华文细黑" w:cs="华文细黑"/>
          <w:b/>
          <w:bCs/>
          <w:color w:val="auto"/>
          <w:sz w:val="30"/>
          <w:szCs w:val="30"/>
        </w:rPr>
        <w:t>第三篇　商务要求</w:t>
      </w:r>
      <w:bookmarkEnd w:id="47"/>
      <w:bookmarkEnd w:id="48"/>
      <w:bookmarkEnd w:id="49"/>
      <w:bookmarkEnd w:id="53"/>
      <w:bookmarkEnd w:id="54"/>
      <w:bookmarkEnd w:id="55"/>
      <w:bookmarkStart w:id="56" w:name="_Toc12789060"/>
    </w:p>
    <w:bookmarkEnd w:id="50"/>
    <w:bookmarkEnd w:id="51"/>
    <w:bookmarkEnd w:id="56"/>
    <w:p>
      <w:pPr>
        <w:pStyle w:val="3"/>
        <w:spacing w:before="0" w:after="0" w:line="360" w:lineRule="auto"/>
        <w:rPr>
          <w:rFonts w:ascii="华文细黑" w:hAnsi="华文细黑" w:eastAsia="华文细黑" w:cs="Times New Roman"/>
          <w:color w:val="auto"/>
          <w:sz w:val="28"/>
          <w:szCs w:val="28"/>
        </w:rPr>
      </w:pPr>
      <w:bookmarkStart w:id="57" w:name="_Toc20729"/>
      <w:bookmarkStart w:id="58" w:name="_Toc246305549"/>
      <w:bookmarkStart w:id="59" w:name="_Toc246395356"/>
      <w:bookmarkStart w:id="60" w:name="_Toc245281244"/>
      <w:r>
        <w:rPr>
          <w:rFonts w:hint="eastAsia" w:ascii="华文细黑" w:hAnsi="华文细黑" w:eastAsia="华文细黑" w:cs="华文细黑"/>
          <w:color w:val="auto"/>
          <w:sz w:val="28"/>
          <w:szCs w:val="28"/>
        </w:rPr>
        <w:t>一、供货时间、地点</w:t>
      </w:r>
      <w:bookmarkEnd w:id="57"/>
      <w:bookmarkEnd w:id="58"/>
      <w:bookmarkEnd w:id="59"/>
      <w:bookmarkEnd w:id="60"/>
    </w:p>
    <w:p>
      <w:pPr>
        <w:pStyle w:val="14"/>
        <w:tabs>
          <w:tab w:val="left" w:pos="4905"/>
        </w:tabs>
        <w:spacing w:line="360" w:lineRule="auto"/>
        <w:ind w:left="56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w:t>
      </w:r>
      <w:r>
        <w:rPr>
          <w:rStyle w:val="35"/>
          <w:rFonts w:hint="eastAsia" w:ascii="华文细黑" w:hAnsi="华文细黑" w:eastAsia="华文细黑" w:cs="华文细黑"/>
          <w:color w:val="auto"/>
          <w:sz w:val="24"/>
          <w:szCs w:val="24"/>
        </w:rPr>
        <w:t>、供货时间：合同签订后15个工作日内完成供货。</w:t>
      </w:r>
    </w:p>
    <w:p>
      <w:pPr>
        <w:spacing w:line="360" w:lineRule="auto"/>
        <w:ind w:firstLine="600" w:firstLineChars="25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2</w:t>
      </w:r>
      <w:r>
        <w:rPr>
          <w:rStyle w:val="35"/>
          <w:rFonts w:hint="eastAsia" w:ascii="华文细黑" w:hAnsi="华文细黑" w:eastAsia="华文细黑" w:cs="华文细黑"/>
          <w:color w:val="auto"/>
          <w:sz w:val="24"/>
          <w:szCs w:val="24"/>
        </w:rPr>
        <w:t>、供货地点：免费送货至四川外国语大学内。</w:t>
      </w:r>
    </w:p>
    <w:p>
      <w:pPr>
        <w:pStyle w:val="3"/>
        <w:spacing w:before="0" w:after="0" w:line="360" w:lineRule="auto"/>
        <w:rPr>
          <w:rFonts w:ascii="华文细黑" w:hAnsi="华文细黑" w:eastAsia="华文细黑" w:cs="华文细黑"/>
          <w:color w:val="auto"/>
          <w:sz w:val="28"/>
          <w:szCs w:val="28"/>
        </w:rPr>
      </w:pPr>
      <w:bookmarkStart w:id="61" w:name="_Toc5954"/>
      <w:bookmarkStart w:id="62" w:name="_Toc246395358"/>
      <w:bookmarkStart w:id="63" w:name="_Toc178828117"/>
      <w:bookmarkStart w:id="64" w:name="_Toc230157428"/>
      <w:bookmarkStart w:id="65" w:name="_Toc245281246"/>
      <w:bookmarkStart w:id="66" w:name="_Toc246305551"/>
      <w:r>
        <w:rPr>
          <w:rFonts w:hint="eastAsia" w:ascii="华文细黑" w:hAnsi="华文细黑" w:eastAsia="华文细黑" w:cs="华文细黑"/>
          <w:color w:val="auto"/>
          <w:sz w:val="28"/>
          <w:szCs w:val="28"/>
        </w:rPr>
        <w:t>二、验收方式：</w:t>
      </w:r>
      <w:bookmarkEnd w:id="61"/>
    </w:p>
    <w:p>
      <w:pPr>
        <w:spacing w:line="360" w:lineRule="auto"/>
        <w:ind w:firstLine="480" w:firstLineChars="200"/>
        <w:rPr>
          <w:rStyle w:val="35"/>
          <w:rFonts w:ascii="华文细黑" w:hAnsi="华文细黑" w:eastAsia="华文细黑" w:cs="华文细黑"/>
          <w:color w:val="auto"/>
          <w:sz w:val="24"/>
          <w:szCs w:val="24"/>
        </w:rPr>
      </w:pPr>
      <w:r>
        <w:rPr>
          <w:rStyle w:val="35"/>
          <w:rFonts w:hint="eastAsia" w:ascii="华文细黑" w:hAnsi="华文细黑" w:eastAsia="华文细黑" w:cs="华文细黑"/>
          <w:color w:val="auto"/>
          <w:sz w:val="24"/>
          <w:szCs w:val="24"/>
        </w:rPr>
        <w:t xml:space="preserve"> 供货完成后供应商需向采购人提交验收申请，由采购人组织验收。</w:t>
      </w:r>
    </w:p>
    <w:p>
      <w:pPr>
        <w:pStyle w:val="3"/>
        <w:spacing w:before="0" w:after="0" w:line="360" w:lineRule="auto"/>
        <w:rPr>
          <w:rStyle w:val="35"/>
          <w:rFonts w:ascii="华文细黑" w:hAnsi="华文细黑" w:eastAsia="华文细黑" w:cs="华文细黑"/>
          <w:color w:val="auto"/>
          <w:sz w:val="24"/>
          <w:szCs w:val="24"/>
        </w:rPr>
      </w:pPr>
      <w:bookmarkStart w:id="67" w:name="_Toc21226"/>
      <w:r>
        <w:rPr>
          <w:rFonts w:hint="eastAsia" w:ascii="华文细黑" w:hAnsi="华文细黑" w:eastAsia="华文细黑" w:cs="华文细黑"/>
          <w:color w:val="auto"/>
          <w:sz w:val="28"/>
          <w:szCs w:val="28"/>
        </w:rPr>
        <w:t>三、付款方式</w:t>
      </w:r>
      <w:bookmarkEnd w:id="62"/>
      <w:bookmarkEnd w:id="63"/>
      <w:bookmarkEnd w:id="64"/>
      <w:bookmarkEnd w:id="65"/>
      <w:bookmarkEnd w:id="66"/>
      <w:bookmarkEnd w:id="67"/>
    </w:p>
    <w:p>
      <w:pPr>
        <w:spacing w:line="360" w:lineRule="auto"/>
        <w:ind w:firstLine="480" w:firstLineChars="200"/>
        <w:rPr>
          <w:rStyle w:val="35"/>
          <w:rFonts w:ascii="华文细黑" w:hAnsi="华文细黑" w:eastAsia="华文细黑" w:cs="Times New Roman"/>
          <w:color w:val="auto"/>
          <w:sz w:val="24"/>
          <w:szCs w:val="24"/>
        </w:rPr>
      </w:pPr>
      <w:r>
        <w:rPr>
          <w:rStyle w:val="35"/>
          <w:rFonts w:hint="eastAsia" w:ascii="华文细黑" w:hAnsi="华文细黑" w:eastAsia="华文细黑" w:cs="华文细黑"/>
          <w:color w:val="auto"/>
          <w:sz w:val="24"/>
          <w:szCs w:val="24"/>
        </w:rPr>
        <w:t>项目验收合格后支付合同金额95%，余下</w:t>
      </w:r>
      <w:r>
        <w:rPr>
          <w:rStyle w:val="35"/>
          <w:rFonts w:ascii="华文细黑" w:hAnsi="华文细黑" w:eastAsia="华文细黑" w:cs="华文细黑"/>
          <w:color w:val="auto"/>
          <w:sz w:val="24"/>
          <w:szCs w:val="24"/>
        </w:rPr>
        <w:t>5%</w:t>
      </w:r>
      <w:r>
        <w:rPr>
          <w:rStyle w:val="35"/>
          <w:rFonts w:hint="eastAsia" w:ascii="华文细黑" w:hAnsi="华文细黑" w:eastAsia="华文细黑" w:cs="华文细黑"/>
          <w:color w:val="auto"/>
          <w:sz w:val="24"/>
          <w:szCs w:val="24"/>
        </w:rPr>
        <w:t>作为质保金，壹年后无重大问题后再无息支付。</w:t>
      </w:r>
    </w:p>
    <w:p>
      <w:pPr>
        <w:pStyle w:val="4"/>
        <w:spacing w:before="0" w:after="0" w:line="360" w:lineRule="auto"/>
        <w:rPr>
          <w:rFonts w:ascii="华文细黑" w:hAnsi="华文细黑" w:eastAsia="华文细黑"/>
          <w:color w:val="auto"/>
          <w:sz w:val="28"/>
          <w:szCs w:val="28"/>
        </w:rPr>
      </w:pPr>
      <w:bookmarkStart w:id="68" w:name="_Toc440030802"/>
      <w:bookmarkStart w:id="69" w:name="_Toc344475121"/>
      <w:bookmarkStart w:id="70" w:name="_Toc15831"/>
      <w:r>
        <w:rPr>
          <w:rFonts w:hint="eastAsia" w:ascii="华文细黑" w:hAnsi="华文细黑" w:eastAsia="华文细黑" w:cs="华文细黑"/>
          <w:color w:val="auto"/>
          <w:sz w:val="28"/>
          <w:szCs w:val="28"/>
        </w:rPr>
        <w:t>四、质量保证及售后服务</w:t>
      </w:r>
      <w:bookmarkEnd w:id="68"/>
      <w:bookmarkEnd w:id="69"/>
      <w:bookmarkEnd w:id="70"/>
    </w:p>
    <w:p>
      <w:pPr>
        <w:spacing w:line="360" w:lineRule="auto"/>
        <w:ind w:firstLine="480" w:firstLineChars="200"/>
        <w:rPr>
          <w:rStyle w:val="35"/>
          <w:rFonts w:ascii="华文细黑" w:hAnsi="华文细黑" w:eastAsia="华文细黑" w:cs="Times New Roman"/>
          <w:color w:val="auto"/>
          <w:sz w:val="24"/>
          <w:szCs w:val="24"/>
        </w:rPr>
      </w:pPr>
      <w:r>
        <w:rPr>
          <w:rStyle w:val="35"/>
          <w:rFonts w:hint="eastAsia" w:ascii="华文细黑" w:hAnsi="华文细黑" w:eastAsia="华文细黑" w:cs="华文细黑"/>
          <w:color w:val="auto"/>
          <w:sz w:val="24"/>
          <w:szCs w:val="24"/>
        </w:rPr>
        <w:t>（一）产品质量保证期</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w:t>
      </w:r>
      <w:r>
        <w:rPr>
          <w:rStyle w:val="35"/>
          <w:rFonts w:hint="eastAsia" w:ascii="华文细黑" w:hAnsi="华文细黑" w:eastAsia="华文细黑" w:cs="华文细黑"/>
          <w:color w:val="auto"/>
          <w:sz w:val="24"/>
          <w:szCs w:val="24"/>
        </w:rPr>
        <w:t>、自验收之日起，提供至少3年的免费质保期（若供应商有更优惠的质保期，请在响应文件中明确应答）。</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2</w:t>
      </w:r>
      <w:r>
        <w:rPr>
          <w:rStyle w:val="35"/>
          <w:rFonts w:hint="eastAsia" w:ascii="华文细黑" w:hAnsi="华文细黑" w:eastAsia="华文细黑" w:cs="华文细黑"/>
          <w:color w:val="auto"/>
          <w:sz w:val="24"/>
          <w:szCs w:val="24"/>
        </w:rPr>
        <w:t>、采购货物属于国家规定“三包”范围的，其产品质量保证期不得低于“三包”规定。</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3</w:t>
      </w:r>
      <w:r>
        <w:rPr>
          <w:rStyle w:val="35"/>
          <w:rFonts w:hint="eastAsia" w:ascii="华文细黑" w:hAnsi="华文细黑" w:eastAsia="华文细黑" w:cs="华文细黑"/>
          <w:color w:val="auto"/>
          <w:sz w:val="24"/>
          <w:szCs w:val="24"/>
        </w:rPr>
        <w:t>、采购货物由产品生产厂家（指产品生产厂家或其负责销售、售后服务机构，以下同）负责标准售后服务，应当在响应文件中予以明确说明，并提供相关文件。</w:t>
      </w:r>
    </w:p>
    <w:p>
      <w:pPr>
        <w:spacing w:line="360" w:lineRule="auto"/>
        <w:ind w:firstLine="480" w:firstLineChars="200"/>
        <w:rPr>
          <w:rStyle w:val="35"/>
          <w:rFonts w:ascii="华文细黑" w:hAnsi="华文细黑" w:eastAsia="华文细黑" w:cs="Times New Roman"/>
          <w:color w:val="auto"/>
          <w:sz w:val="24"/>
          <w:szCs w:val="24"/>
        </w:rPr>
      </w:pPr>
      <w:r>
        <w:rPr>
          <w:rStyle w:val="35"/>
          <w:rFonts w:hint="eastAsia" w:ascii="华文细黑" w:hAnsi="华文细黑" w:eastAsia="华文细黑" w:cs="华文细黑"/>
          <w:color w:val="auto"/>
          <w:sz w:val="24"/>
          <w:szCs w:val="24"/>
        </w:rPr>
        <w:t>（二）售后服务内容</w:t>
      </w:r>
    </w:p>
    <w:p>
      <w:pPr>
        <w:spacing w:line="360" w:lineRule="auto"/>
        <w:ind w:firstLine="480" w:firstLineChars="200"/>
        <w:rPr>
          <w:rStyle w:val="35"/>
          <w:rFonts w:ascii="华文细黑" w:hAnsi="华文细黑" w:eastAsia="华文细黑" w:cs="Times New Roman"/>
          <w:color w:val="auto"/>
          <w:sz w:val="24"/>
          <w:szCs w:val="24"/>
        </w:rPr>
      </w:pPr>
      <w:r>
        <w:rPr>
          <w:rStyle w:val="35"/>
          <w:rFonts w:hint="eastAsia" w:ascii="华文细黑" w:hAnsi="华文细黑" w:eastAsia="华文细黑" w:cs="华文细黑"/>
          <w:color w:val="auto"/>
          <w:sz w:val="24"/>
          <w:szCs w:val="24"/>
        </w:rPr>
        <w:t>供应商和厂家在质量保证期内应当为采购人提供以下技术支持服务：</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w:t>
      </w:r>
      <w:r>
        <w:rPr>
          <w:rStyle w:val="35"/>
          <w:rFonts w:hint="eastAsia" w:ascii="华文细黑" w:hAnsi="华文细黑" w:eastAsia="华文细黑" w:cs="华文细黑"/>
          <w:color w:val="auto"/>
          <w:sz w:val="24"/>
          <w:szCs w:val="24"/>
        </w:rPr>
        <w:t>、质量保证期内服务要求</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1.1</w:t>
      </w:r>
      <w:r>
        <w:rPr>
          <w:rStyle w:val="35"/>
          <w:rFonts w:hint="eastAsia" w:ascii="华文细黑" w:hAnsi="华文细黑" w:eastAsia="华文细黑" w:cs="华文细黑"/>
          <w:color w:val="auto"/>
          <w:sz w:val="24"/>
          <w:szCs w:val="24"/>
        </w:rPr>
        <w:t>电话咨询</w:t>
      </w:r>
    </w:p>
    <w:p>
      <w:pPr>
        <w:spacing w:line="360" w:lineRule="auto"/>
        <w:ind w:firstLine="480" w:firstLineChars="200"/>
        <w:rPr>
          <w:rStyle w:val="35"/>
          <w:rFonts w:ascii="华文细黑" w:hAnsi="华文细黑" w:eastAsia="华文细黑" w:cs="Times New Roman"/>
          <w:color w:val="auto"/>
          <w:sz w:val="24"/>
          <w:szCs w:val="24"/>
        </w:rPr>
      </w:pPr>
      <w:r>
        <w:rPr>
          <w:rStyle w:val="35"/>
          <w:rFonts w:hint="eastAsia" w:ascii="华文细黑" w:hAnsi="华文细黑" w:eastAsia="华文细黑" w:cs="华文细黑"/>
          <w:color w:val="auto"/>
          <w:sz w:val="24"/>
          <w:szCs w:val="24"/>
        </w:rPr>
        <w:t>成交供应商和厂家应当为用户提供技术援助电话，解答用户在使用中遇到的问题，及时为用户提出解决问题的建议。</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1.2</w:t>
      </w:r>
      <w:r>
        <w:rPr>
          <w:rStyle w:val="35"/>
          <w:rFonts w:hint="eastAsia" w:ascii="华文细黑" w:hAnsi="华文细黑" w:eastAsia="华文细黑" w:cs="华文细黑"/>
          <w:color w:val="auto"/>
          <w:sz w:val="24"/>
          <w:szCs w:val="24"/>
        </w:rPr>
        <w:t>现场响应</w:t>
      </w:r>
    </w:p>
    <w:p>
      <w:pPr>
        <w:spacing w:line="360" w:lineRule="auto"/>
        <w:ind w:firstLine="480" w:firstLineChars="200"/>
        <w:rPr>
          <w:rStyle w:val="35"/>
          <w:rFonts w:ascii="华文细黑" w:hAnsi="华文细黑" w:eastAsia="华文细黑" w:cs="Times New Roman"/>
          <w:color w:val="auto"/>
          <w:sz w:val="24"/>
          <w:szCs w:val="24"/>
        </w:rPr>
      </w:pPr>
      <w:r>
        <w:rPr>
          <w:rStyle w:val="35"/>
          <w:rFonts w:hint="eastAsia" w:ascii="华文细黑" w:hAnsi="华文细黑" w:eastAsia="华文细黑" w:cs="华文细黑"/>
          <w:color w:val="auto"/>
          <w:sz w:val="24"/>
          <w:szCs w:val="24"/>
        </w:rPr>
        <w:t>用户遇到使用及技术问题，电话咨询不能解决的，成交供应商或厂家应在</w:t>
      </w:r>
      <w:r>
        <w:rPr>
          <w:rStyle w:val="35"/>
          <w:rFonts w:ascii="华文细黑" w:hAnsi="华文细黑" w:eastAsia="华文细黑" w:cs="华文细黑"/>
          <w:color w:val="auto"/>
          <w:sz w:val="24"/>
          <w:szCs w:val="24"/>
        </w:rPr>
        <w:t>4</w:t>
      </w:r>
      <w:r>
        <w:rPr>
          <w:rStyle w:val="35"/>
          <w:rFonts w:hint="eastAsia" w:ascii="华文细黑" w:hAnsi="华文细黑" w:eastAsia="华文细黑" w:cs="华文细黑"/>
          <w:color w:val="auto"/>
          <w:sz w:val="24"/>
          <w:szCs w:val="24"/>
        </w:rPr>
        <w:t>小时内采取相应响应措施；无法在</w:t>
      </w:r>
      <w:r>
        <w:rPr>
          <w:rStyle w:val="35"/>
          <w:rFonts w:ascii="华文细黑" w:hAnsi="华文细黑" w:eastAsia="华文细黑" w:cs="华文细黑"/>
          <w:color w:val="auto"/>
          <w:sz w:val="24"/>
          <w:szCs w:val="24"/>
        </w:rPr>
        <w:t>8</w:t>
      </w:r>
      <w:r>
        <w:rPr>
          <w:rStyle w:val="35"/>
          <w:rFonts w:hint="eastAsia" w:ascii="华文细黑" w:hAnsi="华文细黑" w:eastAsia="华文细黑" w:cs="华文细黑"/>
          <w:color w:val="auto"/>
          <w:sz w:val="24"/>
          <w:szCs w:val="24"/>
        </w:rPr>
        <w:t>小时内解决的，应在</w:t>
      </w:r>
      <w:r>
        <w:rPr>
          <w:rStyle w:val="35"/>
          <w:rFonts w:ascii="华文细黑" w:hAnsi="华文细黑" w:eastAsia="华文细黑" w:cs="华文细黑"/>
          <w:color w:val="auto"/>
          <w:sz w:val="24"/>
          <w:szCs w:val="24"/>
        </w:rPr>
        <w:t>8</w:t>
      </w:r>
      <w:r>
        <w:rPr>
          <w:rStyle w:val="35"/>
          <w:rFonts w:hint="eastAsia" w:ascii="华文细黑" w:hAnsi="华文细黑" w:eastAsia="华文细黑" w:cs="华文细黑"/>
          <w:color w:val="auto"/>
          <w:sz w:val="24"/>
          <w:szCs w:val="24"/>
        </w:rPr>
        <w:t>小时内派出专业人员进行技术支持。</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1.3</w:t>
      </w:r>
      <w:r>
        <w:rPr>
          <w:rStyle w:val="35"/>
          <w:rFonts w:hint="eastAsia" w:ascii="华文细黑" w:hAnsi="华文细黑" w:eastAsia="华文细黑" w:cs="华文细黑"/>
          <w:color w:val="auto"/>
          <w:sz w:val="24"/>
          <w:szCs w:val="24"/>
        </w:rPr>
        <w:t>技术升级</w:t>
      </w:r>
    </w:p>
    <w:p>
      <w:pPr>
        <w:spacing w:line="360" w:lineRule="auto"/>
        <w:ind w:firstLine="480" w:firstLineChars="200"/>
        <w:rPr>
          <w:rStyle w:val="35"/>
          <w:rFonts w:ascii="华文细黑" w:hAnsi="华文细黑" w:eastAsia="华文细黑" w:cs="华文细黑"/>
          <w:color w:val="auto"/>
          <w:sz w:val="24"/>
          <w:szCs w:val="24"/>
        </w:rPr>
      </w:pPr>
      <w:r>
        <w:rPr>
          <w:rStyle w:val="35"/>
          <w:rFonts w:hint="eastAsia" w:ascii="华文细黑" w:hAnsi="华文细黑" w:eastAsia="华文细黑" w:cs="华文细黑"/>
          <w:color w:val="auto"/>
          <w:sz w:val="24"/>
          <w:szCs w:val="24"/>
        </w:rPr>
        <w:t>在质保期内，如果成交供应商和厂家的产品技术升级，成交供应商应及时通知采购人，如采购人有相应要求，成交供应商和厂家应对采购人进行升级服务。</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2</w:t>
      </w:r>
      <w:r>
        <w:rPr>
          <w:rStyle w:val="35"/>
          <w:rFonts w:hint="eastAsia" w:ascii="华文细黑" w:hAnsi="华文细黑" w:eastAsia="华文细黑" w:cs="华文细黑"/>
          <w:color w:val="auto"/>
          <w:sz w:val="24"/>
          <w:szCs w:val="24"/>
        </w:rPr>
        <w:t>、质保期外服务要求</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2.1</w:t>
      </w:r>
      <w:r>
        <w:rPr>
          <w:rStyle w:val="35"/>
          <w:rFonts w:hint="eastAsia" w:ascii="华文细黑" w:hAnsi="华文细黑" w:eastAsia="华文细黑" w:cs="华文细黑"/>
          <w:color w:val="auto"/>
          <w:sz w:val="24"/>
          <w:szCs w:val="24"/>
        </w:rPr>
        <w:t>质量保证期过后，成交供应商和厂家应同样提供免费电话咨询服务，并应承诺提供产品上门维护服务。</w:t>
      </w:r>
    </w:p>
    <w:p>
      <w:pPr>
        <w:spacing w:line="360" w:lineRule="auto"/>
        <w:ind w:firstLine="480" w:firstLineChars="20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2.2</w:t>
      </w:r>
      <w:r>
        <w:rPr>
          <w:rStyle w:val="35"/>
          <w:rFonts w:hint="eastAsia" w:ascii="华文细黑" w:hAnsi="华文细黑" w:eastAsia="华文细黑" w:cs="华文细黑"/>
          <w:color w:val="auto"/>
          <w:sz w:val="24"/>
          <w:szCs w:val="24"/>
        </w:rPr>
        <w:t>质量保证期过后，采购人需要继续由原成交供应商和厂家提供售后服务的，成交供应商和厂家应以优惠价格提供售后服务。</w:t>
      </w:r>
    </w:p>
    <w:p>
      <w:pPr>
        <w:pStyle w:val="3"/>
        <w:spacing w:before="0" w:after="0" w:line="360" w:lineRule="auto"/>
        <w:rPr>
          <w:rFonts w:ascii="华文细黑" w:hAnsi="华文细黑" w:eastAsia="华文细黑" w:cs="Times New Roman"/>
          <w:color w:val="auto"/>
          <w:sz w:val="28"/>
          <w:szCs w:val="28"/>
        </w:rPr>
      </w:pPr>
      <w:bookmarkStart w:id="71" w:name="_Toc1808"/>
      <w:bookmarkStart w:id="72" w:name="_Toc246395362"/>
      <w:bookmarkStart w:id="73" w:name="_Toc246305555"/>
      <w:bookmarkStart w:id="74" w:name="_Toc245281251"/>
      <w:r>
        <w:rPr>
          <w:rFonts w:hint="eastAsia" w:ascii="华文细黑" w:hAnsi="华文细黑" w:eastAsia="华文细黑" w:cs="华文细黑"/>
          <w:color w:val="auto"/>
          <w:sz w:val="28"/>
          <w:szCs w:val="28"/>
        </w:rPr>
        <w:t>五、其他</w:t>
      </w:r>
      <w:bookmarkEnd w:id="71"/>
      <w:bookmarkEnd w:id="72"/>
      <w:bookmarkEnd w:id="73"/>
      <w:bookmarkEnd w:id="74"/>
    </w:p>
    <w:p>
      <w:pPr>
        <w:spacing w:line="360" w:lineRule="auto"/>
        <w:ind w:left="903" w:leftChars="194" w:hanging="360" w:hangingChars="150"/>
        <w:rPr>
          <w:rStyle w:val="35"/>
          <w:rFonts w:ascii="华文细黑" w:hAnsi="华文细黑" w:eastAsia="华文细黑" w:cs="Times New Roman"/>
          <w:color w:val="auto"/>
          <w:sz w:val="24"/>
          <w:szCs w:val="24"/>
        </w:rPr>
      </w:pPr>
      <w:r>
        <w:rPr>
          <w:rStyle w:val="35"/>
          <w:rFonts w:ascii="华文细黑" w:hAnsi="华文细黑" w:eastAsia="华文细黑" w:cs="华文细黑"/>
          <w:color w:val="auto"/>
          <w:sz w:val="24"/>
          <w:szCs w:val="24"/>
        </w:rPr>
        <w:t>1</w:t>
      </w:r>
      <w:r>
        <w:rPr>
          <w:rStyle w:val="35"/>
          <w:rFonts w:hint="eastAsia" w:ascii="华文细黑" w:hAnsi="华文细黑" w:eastAsia="华文细黑" w:cs="华文细黑"/>
          <w:color w:val="auto"/>
          <w:sz w:val="24"/>
          <w:szCs w:val="24"/>
        </w:rPr>
        <w:t>、以上条款和服务承诺报价人必须在投标文件上明确列出，承诺内容必须达到本篇及招标文件其他条款的要求。</w:t>
      </w:r>
    </w:p>
    <w:p>
      <w:pPr>
        <w:spacing w:line="360" w:lineRule="auto"/>
        <w:ind w:firstLine="540"/>
        <w:rPr>
          <w:rFonts w:ascii="华文细黑" w:hAnsi="华文细黑" w:eastAsia="华文细黑"/>
          <w:color w:val="auto"/>
        </w:rPr>
      </w:pPr>
      <w:r>
        <w:rPr>
          <w:rStyle w:val="35"/>
          <w:rFonts w:ascii="华文细黑" w:hAnsi="华文细黑" w:eastAsia="华文细黑" w:cs="华文细黑"/>
          <w:color w:val="auto"/>
          <w:sz w:val="24"/>
          <w:szCs w:val="24"/>
        </w:rPr>
        <w:t>2</w:t>
      </w:r>
      <w:r>
        <w:rPr>
          <w:rStyle w:val="35"/>
          <w:rFonts w:hint="eastAsia" w:ascii="华文细黑" w:hAnsi="华文细黑" w:eastAsia="华文细黑" w:cs="华文细黑"/>
          <w:color w:val="auto"/>
          <w:sz w:val="24"/>
          <w:szCs w:val="24"/>
        </w:rPr>
        <w:t>、其他未尽事宜由合同双方在采购合同中详细约定。</w:t>
      </w:r>
      <w:bookmarkStart w:id="75" w:name="_Toc178402866"/>
    </w:p>
    <w:bookmarkEnd w:id="75"/>
    <w:p>
      <w:pPr>
        <w:jc w:val="center"/>
        <w:outlineLvl w:val="0"/>
        <w:rPr>
          <w:rFonts w:ascii="华文细黑" w:hAnsi="华文细黑" w:eastAsia="华文细黑"/>
          <w:b/>
          <w:bCs/>
          <w:sz w:val="30"/>
          <w:szCs w:val="30"/>
        </w:rPr>
      </w:pPr>
      <w:bookmarkStart w:id="76" w:name="_Toc246395363"/>
      <w:bookmarkStart w:id="77" w:name="_Toc246305556"/>
      <w:bookmarkStart w:id="78" w:name="_Toc129763854"/>
      <w:bookmarkStart w:id="79" w:name="_Toc223847751"/>
      <w:r>
        <w:rPr>
          <w:rFonts w:ascii="华文细黑" w:hAnsi="华文细黑" w:eastAsia="华文细黑"/>
          <w:b/>
          <w:bCs/>
          <w:color w:val="auto"/>
          <w:sz w:val="30"/>
          <w:szCs w:val="30"/>
        </w:rPr>
        <w:br w:type="page"/>
      </w:r>
      <w:bookmarkStart w:id="80" w:name="_Toc8788"/>
      <w:r>
        <w:rPr>
          <w:rFonts w:hint="eastAsia" w:ascii="华文细黑" w:hAnsi="华文细黑" w:eastAsia="华文细黑" w:cs="华文细黑"/>
          <w:b/>
          <w:bCs/>
          <w:sz w:val="30"/>
          <w:szCs w:val="30"/>
        </w:rPr>
        <w:t>第四篇　合同主要条款及合同格式</w:t>
      </w:r>
      <w:bookmarkEnd w:id="76"/>
      <w:bookmarkEnd w:id="77"/>
      <w:bookmarkEnd w:id="78"/>
      <w:bookmarkEnd w:id="79"/>
      <w:bookmarkEnd w:id="80"/>
    </w:p>
    <w:p>
      <w:pPr>
        <w:spacing w:line="360" w:lineRule="auto"/>
        <w:outlineLvl w:val="1"/>
        <w:rPr>
          <w:rFonts w:ascii="华文细黑" w:hAnsi="华文细黑" w:eastAsia="华文细黑"/>
          <w:b/>
          <w:bCs/>
          <w:sz w:val="24"/>
          <w:szCs w:val="24"/>
        </w:rPr>
      </w:pPr>
      <w:bookmarkStart w:id="81" w:name="_Toc246305557"/>
      <w:bookmarkStart w:id="82" w:name="_Toc223847752"/>
      <w:bookmarkStart w:id="83" w:name="_Toc27885"/>
      <w:bookmarkStart w:id="84" w:name="_Toc246395364"/>
      <w:r>
        <w:rPr>
          <w:rFonts w:hint="eastAsia" w:ascii="华文细黑" w:hAnsi="华文细黑" w:eastAsia="华文细黑" w:cs="华文细黑"/>
          <w:b/>
          <w:bCs/>
          <w:sz w:val="24"/>
          <w:szCs w:val="24"/>
        </w:rPr>
        <w:t>一、定义</w:t>
      </w:r>
      <w:bookmarkEnd w:id="81"/>
      <w:bookmarkEnd w:id="82"/>
      <w:bookmarkEnd w:id="83"/>
      <w:bookmarkEnd w:id="84"/>
    </w:p>
    <w:p>
      <w:pPr>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．需方是指通过询价采购，接受合同货物及服务的机关、事业单位或团体组织。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．供方是指成交后提供合同货物和服务的企业法人。</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．合同是指由采购人和成交供应商按照询价采购文件、补遗书和报价文件以及书面承诺的实质性内容，规范成要约和承诺，通过协商一致达成的书面协议。</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．合同价格系指根据合同规定，在供方全面正确地履行合同义务时需方应支付给供方的款项。</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．技术资料是指合同货物及其相关的设计、制造、监造、检验、验收等文件（包括图纸、各种文字说明、标准）。</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．合同货物是指供方根据合同所需供应的</w:t>
      </w:r>
      <w:r>
        <w:rPr>
          <w:rStyle w:val="35"/>
          <w:rFonts w:hint="eastAsia" w:ascii="华文细黑" w:hAnsi="华文细黑" w:eastAsia="华文细黑" w:cs="华文细黑"/>
          <w:sz w:val="24"/>
          <w:szCs w:val="24"/>
        </w:rPr>
        <w:t>设备</w:t>
      </w:r>
      <w:r>
        <w:rPr>
          <w:rFonts w:hint="eastAsia" w:ascii="华文细黑" w:hAnsi="华文细黑" w:eastAsia="华文细黑" w:cs="华文细黑"/>
          <w:sz w:val="24"/>
          <w:szCs w:val="24"/>
        </w:rPr>
        <w:t>。</w:t>
      </w:r>
    </w:p>
    <w:p>
      <w:pPr>
        <w:spacing w:line="360" w:lineRule="auto"/>
        <w:outlineLvl w:val="1"/>
        <w:rPr>
          <w:rFonts w:ascii="华文细黑" w:hAnsi="华文细黑" w:eastAsia="华文细黑"/>
          <w:b/>
          <w:bCs/>
          <w:sz w:val="24"/>
          <w:szCs w:val="24"/>
        </w:rPr>
      </w:pPr>
      <w:bookmarkStart w:id="85" w:name="_Toc223847753"/>
      <w:bookmarkStart w:id="86" w:name="_Toc246305558"/>
      <w:bookmarkStart w:id="87" w:name="_Toc246395365"/>
      <w:bookmarkStart w:id="88" w:name="_Toc29796"/>
      <w:r>
        <w:rPr>
          <w:rFonts w:hint="eastAsia" w:ascii="华文细黑" w:hAnsi="华文细黑" w:eastAsia="华文细黑" w:cs="华文细黑"/>
          <w:b/>
          <w:bCs/>
          <w:sz w:val="24"/>
          <w:szCs w:val="24"/>
        </w:rPr>
        <w:t>二、合同标的</w:t>
      </w:r>
      <w:bookmarkEnd w:id="85"/>
      <w:bookmarkEnd w:id="86"/>
      <w:bookmarkEnd w:id="87"/>
      <w:bookmarkEnd w:id="88"/>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．合同标的包括以下内容：详见清单。</w:t>
      </w:r>
    </w:p>
    <w:p>
      <w:pPr>
        <w:spacing w:line="360" w:lineRule="auto"/>
        <w:outlineLvl w:val="1"/>
        <w:rPr>
          <w:rFonts w:ascii="华文细黑" w:hAnsi="华文细黑" w:eastAsia="华文细黑"/>
          <w:b/>
          <w:bCs/>
          <w:sz w:val="24"/>
          <w:szCs w:val="24"/>
        </w:rPr>
      </w:pPr>
      <w:bookmarkStart w:id="89" w:name="_Toc223847754"/>
      <w:bookmarkStart w:id="90" w:name="_Toc246395366"/>
      <w:bookmarkStart w:id="91" w:name="_Toc246305559"/>
      <w:bookmarkStart w:id="92" w:name="_Toc13030"/>
      <w:r>
        <w:rPr>
          <w:rFonts w:hint="eastAsia" w:ascii="华文细黑" w:hAnsi="华文细黑" w:eastAsia="华文细黑" w:cs="华文细黑"/>
          <w:b/>
          <w:bCs/>
          <w:sz w:val="24"/>
          <w:szCs w:val="24"/>
        </w:rPr>
        <w:t>三、合同价格</w:t>
      </w:r>
      <w:bookmarkEnd w:id="89"/>
      <w:bookmarkEnd w:id="90"/>
      <w:bookmarkEnd w:id="91"/>
      <w:bookmarkEnd w:id="92"/>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．合同价格即合同总价。</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．合同价格包括合同</w:t>
      </w:r>
      <w:r>
        <w:rPr>
          <w:rStyle w:val="35"/>
          <w:rFonts w:hint="eastAsia" w:ascii="华文细黑" w:hAnsi="华文细黑" w:eastAsia="华文细黑" w:cs="华文细黑"/>
          <w:sz w:val="24"/>
          <w:szCs w:val="24"/>
        </w:rPr>
        <w:t>货物、材料制造费、运输费及保险费、安装调试、接入现有综合统一管理平台所涉及到的软硬件费用和接口开发费用、完成该项目的直接费、间接费等一切费用</w:t>
      </w:r>
      <w:r>
        <w:rPr>
          <w:rFonts w:hint="eastAsia" w:ascii="华文细黑" w:hAnsi="华文细黑" w:eastAsia="华文细黑" w:cs="华文细黑"/>
          <w:sz w:val="24"/>
          <w:szCs w:val="24"/>
        </w:rPr>
        <w:t>。</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．合同货物单价为最终中选报价单价。</w:t>
      </w:r>
    </w:p>
    <w:p>
      <w:pPr>
        <w:spacing w:line="360" w:lineRule="auto"/>
        <w:outlineLvl w:val="1"/>
        <w:rPr>
          <w:rFonts w:ascii="华文细黑" w:hAnsi="华文细黑" w:eastAsia="华文细黑"/>
          <w:b/>
          <w:bCs/>
          <w:sz w:val="24"/>
          <w:szCs w:val="24"/>
        </w:rPr>
      </w:pPr>
      <w:bookmarkStart w:id="93" w:name="_Toc246395367"/>
      <w:bookmarkStart w:id="94" w:name="_Toc246305560"/>
      <w:bookmarkStart w:id="95" w:name="_Toc223847755"/>
      <w:bookmarkStart w:id="96" w:name="_Toc6300"/>
      <w:r>
        <w:rPr>
          <w:rFonts w:hint="eastAsia" w:ascii="华文细黑" w:hAnsi="华文细黑" w:eastAsia="华文细黑" w:cs="华文细黑"/>
          <w:b/>
          <w:bCs/>
          <w:sz w:val="24"/>
          <w:szCs w:val="24"/>
        </w:rPr>
        <w:t>四、付款</w:t>
      </w:r>
      <w:bookmarkEnd w:id="93"/>
      <w:bookmarkEnd w:id="94"/>
      <w:bookmarkEnd w:id="95"/>
      <w:bookmarkEnd w:id="96"/>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．本合同使用货币币制，如未作特别说明均为人民币。</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．付款方式采取承兑汇票或转账支票支付。</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．付款方法按询价采购文件商务条款要求执行。</w:t>
      </w:r>
    </w:p>
    <w:p>
      <w:pPr>
        <w:spacing w:line="360" w:lineRule="auto"/>
        <w:outlineLvl w:val="1"/>
        <w:rPr>
          <w:rFonts w:ascii="华文细黑" w:hAnsi="华文细黑" w:eastAsia="华文细黑"/>
          <w:b/>
          <w:bCs/>
          <w:sz w:val="24"/>
          <w:szCs w:val="24"/>
        </w:rPr>
      </w:pPr>
      <w:bookmarkStart w:id="97" w:name="_Toc246395368"/>
      <w:bookmarkStart w:id="98" w:name="_Toc223847756"/>
      <w:bookmarkStart w:id="99" w:name="_Toc246305561"/>
      <w:bookmarkStart w:id="100" w:name="_Toc25596"/>
      <w:r>
        <w:rPr>
          <w:rFonts w:hint="eastAsia" w:ascii="华文细黑" w:hAnsi="华文细黑" w:eastAsia="华文细黑" w:cs="华文细黑"/>
          <w:b/>
          <w:bCs/>
          <w:sz w:val="24"/>
          <w:szCs w:val="24"/>
        </w:rPr>
        <w:t>五、</w:t>
      </w:r>
      <w:bookmarkEnd w:id="97"/>
      <w:bookmarkEnd w:id="98"/>
      <w:bookmarkEnd w:id="99"/>
      <w:bookmarkStart w:id="101" w:name="_Toc246395373"/>
      <w:bookmarkStart w:id="102" w:name="_Toc246305566"/>
      <w:bookmarkStart w:id="103" w:name="_Toc223847761"/>
      <w:r>
        <w:rPr>
          <w:rFonts w:hint="eastAsia" w:ascii="华文细黑" w:hAnsi="华文细黑" w:eastAsia="华文细黑" w:cs="华文细黑"/>
          <w:b/>
          <w:bCs/>
          <w:sz w:val="24"/>
          <w:szCs w:val="24"/>
        </w:rPr>
        <w:t>合同生效及其它</w:t>
      </w:r>
      <w:bookmarkEnd w:id="100"/>
      <w:bookmarkEnd w:id="101"/>
      <w:bookmarkEnd w:id="102"/>
      <w:bookmarkEnd w:id="103"/>
    </w:p>
    <w:p>
      <w:pPr>
        <w:snapToGrid w:val="0"/>
        <w:spacing w:line="360" w:lineRule="auto"/>
        <w:ind w:left="898" w:leftChars="204" w:hanging="327"/>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．中标结果将在四川外国语大学校园网（</w:t>
      </w:r>
      <w:r>
        <w:rPr>
          <w:rStyle w:val="35"/>
          <w:rFonts w:ascii="华文细黑" w:hAnsi="华文细黑" w:eastAsia="华文细黑" w:cs="华文细黑"/>
          <w:sz w:val="24"/>
          <w:szCs w:val="24"/>
        </w:rPr>
        <w:t>http://www.</w:t>
      </w:r>
      <w:r>
        <w:rPr>
          <w:rStyle w:val="35"/>
          <w:rFonts w:hint="eastAsia" w:ascii="华文细黑" w:hAnsi="华文细黑" w:eastAsia="华文细黑" w:cs="华文细黑"/>
          <w:sz w:val="24"/>
          <w:szCs w:val="24"/>
        </w:rPr>
        <w:t>sisu</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edu</w:t>
      </w:r>
      <w:r>
        <w:rPr>
          <w:rStyle w:val="35"/>
          <w:rFonts w:ascii="华文细黑" w:hAnsi="华文细黑" w:eastAsia="华文细黑" w:cs="华文细黑"/>
          <w:sz w:val="24"/>
          <w:szCs w:val="24"/>
        </w:rPr>
        <w:t>.cn/</w:t>
      </w:r>
      <w:r>
        <w:rPr>
          <w:rStyle w:val="35"/>
          <w:rFonts w:hint="eastAsia" w:ascii="华文细黑" w:hAnsi="华文细黑" w:eastAsia="华文细黑" w:cs="华文细黑"/>
          <w:sz w:val="24"/>
          <w:szCs w:val="24"/>
        </w:rPr>
        <w:t>）上进行公示。中标通知书发出后十个工作日内，若成交人不与招标人签订合同，招标人将视其自动放弃本次中标（成交人将被扣除投标保证金）。</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、合同生效及其效力应符合《中华人民共和国合同法》有关规定。</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．合同应经当事人法定代表人或委托代理人签字，加盖合同专用章。</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．合同所包括附件（询价采购文件、询价过程中的补充文件、成交供应商的报价文件及相关承诺文件），是合同不可分割的一部分，具有同等法法律效力。</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．合同需提供担保的，按《中华人民共和国担保法》规定执行。</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．本合同条件未尽事宜依照《中华人民共和国合同法》，由供需双方共同协商确定。</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 xml:space="preserve">7.  </w:t>
      </w:r>
      <w:r>
        <w:rPr>
          <w:rFonts w:hint="eastAsia" w:ascii="华文细黑" w:hAnsi="华文细黑" w:eastAsia="华文细黑" w:cs="华文细黑"/>
          <w:sz w:val="24"/>
          <w:szCs w:val="24"/>
        </w:rPr>
        <w:t>合同签订时，采购方有权在法规允许的范围内增减采购货物的数量。</w:t>
      </w: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outlineLvl w:val="1"/>
        <w:rPr>
          <w:rFonts w:ascii="华文细黑" w:hAnsi="华文细黑" w:eastAsia="华文细黑"/>
          <w:b/>
          <w:bCs/>
          <w:sz w:val="24"/>
          <w:szCs w:val="24"/>
        </w:rPr>
      </w:pPr>
      <w:bookmarkStart w:id="104" w:name="_Toc246305567"/>
      <w:bookmarkStart w:id="105" w:name="_Toc246395374"/>
      <w:bookmarkStart w:id="106" w:name="_Toc223847762"/>
      <w:bookmarkStart w:id="107" w:name="_Toc11208"/>
      <w:r>
        <w:rPr>
          <w:rFonts w:hint="eastAsia" w:ascii="华文细黑" w:hAnsi="华文细黑" w:eastAsia="华文细黑" w:cs="华文细黑"/>
          <w:b/>
          <w:bCs/>
          <w:sz w:val="24"/>
          <w:szCs w:val="24"/>
        </w:rPr>
        <w:t>附页：合同格式</w:t>
      </w:r>
      <w:bookmarkEnd w:id="104"/>
      <w:bookmarkEnd w:id="105"/>
      <w:bookmarkEnd w:id="106"/>
      <w:r>
        <w:rPr>
          <w:rFonts w:hint="eastAsia" w:ascii="华文细黑" w:hAnsi="华文细黑" w:eastAsia="华文细黑" w:cs="华文细黑"/>
          <w:b/>
          <w:bCs/>
          <w:sz w:val="24"/>
          <w:szCs w:val="24"/>
        </w:rPr>
        <w:t>（参考）</w:t>
      </w:r>
      <w:bookmarkEnd w:id="107"/>
    </w:p>
    <w:p>
      <w:pPr>
        <w:jc w:val="center"/>
        <w:rPr>
          <w:rFonts w:ascii="华文细黑" w:hAnsi="华文细黑" w:eastAsia="华文细黑"/>
          <w:b/>
          <w:bCs/>
          <w:color w:val="000000"/>
          <w:sz w:val="24"/>
          <w:szCs w:val="24"/>
        </w:rPr>
      </w:pPr>
      <w:r>
        <w:rPr>
          <w:rFonts w:hint="eastAsia" w:ascii="华文细黑" w:hAnsi="华文细黑" w:eastAsia="华文细黑" w:cs="华文细黑"/>
          <w:b/>
          <w:bCs/>
          <w:color w:val="000000"/>
          <w:sz w:val="24"/>
          <w:szCs w:val="24"/>
        </w:rPr>
        <w:t>四川外国语大学政府采购合同</w:t>
      </w:r>
    </w:p>
    <w:p>
      <w:pPr>
        <w:ind w:firstLine="2246" w:firstLineChars="935"/>
        <w:rPr>
          <w:rFonts w:ascii="华文细黑" w:hAnsi="华文细黑" w:eastAsia="华文细黑"/>
          <w:b/>
          <w:bCs/>
          <w:color w:val="000000"/>
          <w:sz w:val="24"/>
          <w:szCs w:val="24"/>
          <w:u w:val="single"/>
        </w:rPr>
      </w:pPr>
      <w:r>
        <w:rPr>
          <w:rFonts w:hint="eastAsia" w:ascii="华文细黑" w:hAnsi="华文细黑" w:eastAsia="华文细黑" w:cs="华文细黑"/>
          <w:b/>
          <w:bCs/>
          <w:sz w:val="24"/>
          <w:szCs w:val="24"/>
        </w:rPr>
        <w:t>合同编号：</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供方：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计量单位：</w:t>
      </w:r>
      <w:r>
        <w:rPr>
          <w:rFonts w:ascii="华文细黑" w:hAnsi="华文细黑" w:eastAsia="华文细黑" w:cs="华文细黑"/>
          <w:color w:val="000000"/>
          <w:sz w:val="24"/>
          <w:szCs w:val="24"/>
        </w:rPr>
        <w:t>_____________</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需方：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计价单位：</w:t>
      </w:r>
      <w:r>
        <w:rPr>
          <w:rFonts w:ascii="华文细黑" w:hAnsi="华文细黑" w:eastAsia="华文细黑" w:cs="华文细黑"/>
          <w:color w:val="000000"/>
          <w:sz w:val="24"/>
          <w:szCs w:val="24"/>
        </w:rPr>
        <w:t>_____________</w:t>
      </w:r>
    </w:p>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协商一致，达成以下购销合同：</w:t>
      </w:r>
    </w:p>
    <w:tbl>
      <w:tblPr>
        <w:tblStyle w:val="29"/>
        <w:tblW w:w="8893"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7"/>
        <w:gridCol w:w="1591"/>
        <w:gridCol w:w="900"/>
        <w:gridCol w:w="360"/>
        <w:gridCol w:w="360"/>
        <w:gridCol w:w="900"/>
        <w:gridCol w:w="1440"/>
        <w:gridCol w:w="2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商品名称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数量</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单价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总价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交货时间</w:t>
            </w: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2"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w:t>
            </w:r>
            <w:r>
              <w:rPr>
                <w:rFonts w:ascii="华文细黑" w:hAnsi="华文细黑" w:eastAsia="华文细黑" w:cs="华文细黑"/>
                <w:sz w:val="24"/>
                <w:szCs w:val="24"/>
              </w:rPr>
              <w:t>.</w:t>
            </w:r>
            <w:r>
              <w:rPr>
                <w:rFonts w:hint="eastAsia" w:ascii="华文细黑" w:hAnsi="华文细黑" w:eastAsia="华文细黑" w:cs="华文细黑"/>
                <w:sz w:val="24"/>
                <w:szCs w:val="24"/>
              </w:rPr>
              <w:t>质量要求和技术标准。供方提供的商品必须是全新的，完全符合国家有关技术标准，供方的质量保证及售后服务承诺如下：</w:t>
            </w:r>
          </w:p>
          <w:p>
            <w:pPr>
              <w:ind w:left="42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质保期限：</w:t>
            </w:r>
          </w:p>
          <w:p>
            <w:pPr>
              <w:ind w:left="42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保修范围：</w:t>
            </w:r>
          </w:p>
          <w:p>
            <w:pPr>
              <w:ind w:left="42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服务措施：</w:t>
            </w:r>
          </w:p>
          <w:p>
            <w:pPr>
              <w:ind w:left="420"/>
              <w:rPr>
                <w:rFonts w:ascii="华文细黑" w:hAnsi="华文细黑" w:eastAsia="华文细黑"/>
                <w:color w:val="000000"/>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质保期后服务：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二</w:t>
            </w:r>
            <w:r>
              <w:rPr>
                <w:rFonts w:ascii="华文细黑" w:hAnsi="华文细黑" w:eastAsia="华文细黑" w:cs="华文细黑"/>
                <w:sz w:val="24"/>
                <w:szCs w:val="24"/>
              </w:rPr>
              <w:t>.</w:t>
            </w:r>
            <w:r>
              <w:rPr>
                <w:rFonts w:hint="eastAsia" w:ascii="华文细黑" w:hAnsi="华文细黑" w:eastAsia="华文细黑" w:cs="华文细黑"/>
                <w:sz w:val="24"/>
                <w:szCs w:val="24"/>
              </w:rPr>
              <w:t>随机备品、附件、工具数量及供应方法：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8"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三</w:t>
            </w:r>
            <w:r>
              <w:rPr>
                <w:rFonts w:ascii="华文细黑" w:hAnsi="华文细黑" w:eastAsia="华文细黑" w:cs="华文细黑"/>
                <w:sz w:val="24"/>
                <w:szCs w:val="24"/>
              </w:rPr>
              <w:t>.</w:t>
            </w:r>
            <w:r>
              <w:rPr>
                <w:rFonts w:hint="eastAsia" w:ascii="华文细黑" w:hAnsi="华文细黑" w:eastAsia="华文细黑" w:cs="华文细黑"/>
                <w:sz w:val="24"/>
                <w:szCs w:val="24"/>
              </w:rPr>
              <w:t>交提货方式：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四、验收标准、方法：</w:t>
            </w: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color w:val="000000"/>
                <w:sz w:val="24"/>
                <w:szCs w:val="24"/>
              </w:rPr>
            </w:pPr>
            <w:r>
              <w:rPr>
                <w:rFonts w:hint="eastAsia" w:ascii="华文细黑" w:hAnsi="华文细黑" w:eastAsia="华文细黑" w:cs="华文细黑"/>
                <w:sz w:val="24"/>
                <w:szCs w:val="24"/>
              </w:rPr>
              <w:t>如有异议，请于日内提出。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五、付款方式：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六、违约责任：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七、其他约定事项：</w:t>
            </w:r>
          </w:p>
          <w:p>
            <w:pPr>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询价采购文件及补遗、报价文件及承诺是本合同不可分割的部分。</w:t>
            </w:r>
          </w:p>
          <w:p>
            <w:pPr>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本合同如发生争议可申请仲裁或提请诉讼。</w:t>
            </w:r>
          </w:p>
          <w:p>
            <w:pPr>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本合同一式陆份，具同等法律效力。</w:t>
            </w:r>
          </w:p>
          <w:p>
            <w:pPr>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4068" w:type="dxa"/>
            <w:gridSpan w:val="4"/>
            <w:tcBorders>
              <w:top w:val="single" w:color="auto" w:sz="4" w:space="0"/>
              <w:bottom w:val="single" w:color="auto" w:sz="4" w:space="0"/>
              <w:right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需方：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联系电话：</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rPr>
                <w:rFonts w:ascii="华文细黑" w:hAnsi="华文细黑" w:eastAsia="华文细黑"/>
                <w:sz w:val="24"/>
                <w:szCs w:val="24"/>
              </w:rPr>
            </w:pPr>
            <w:r>
              <w:rPr>
                <w:rFonts w:hint="eastAsia" w:ascii="华文细黑" w:hAnsi="华文细黑" w:eastAsia="华文细黑" w:cs="华文细黑"/>
                <w:sz w:val="24"/>
                <w:szCs w:val="24"/>
              </w:rPr>
              <w:t>经办人：</w:t>
            </w:r>
          </w:p>
        </w:tc>
        <w:tc>
          <w:tcPr>
            <w:tcW w:w="4825" w:type="dxa"/>
            <w:gridSpan w:val="4"/>
            <w:tcBorders>
              <w:top w:val="single" w:color="auto" w:sz="4" w:space="0"/>
              <w:left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供方：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电话：</w:t>
            </w:r>
          </w:p>
          <w:p>
            <w:pPr>
              <w:rPr>
                <w:rFonts w:ascii="华文细黑" w:hAnsi="华文细黑" w:eastAsia="华文细黑"/>
                <w:sz w:val="24"/>
                <w:szCs w:val="24"/>
              </w:rPr>
            </w:pPr>
            <w:r>
              <w:rPr>
                <w:rFonts w:hint="eastAsia" w:ascii="华文细黑" w:hAnsi="华文细黑" w:eastAsia="华文细黑" w:cs="华文细黑"/>
                <w:sz w:val="24"/>
                <w:szCs w:val="24"/>
              </w:rPr>
              <w:t>传真：</w:t>
            </w:r>
          </w:p>
          <w:p>
            <w:pPr>
              <w:rPr>
                <w:rFonts w:ascii="华文细黑" w:hAnsi="华文细黑" w:eastAsia="华文细黑"/>
                <w:sz w:val="24"/>
                <w:szCs w:val="24"/>
              </w:rPr>
            </w:pPr>
            <w:r>
              <w:rPr>
                <w:rFonts w:hint="eastAsia" w:ascii="华文细黑" w:hAnsi="华文细黑" w:eastAsia="华文细黑" w:cs="华文细黑"/>
                <w:sz w:val="24"/>
                <w:szCs w:val="24"/>
              </w:rPr>
              <w:t>开户银行：</w:t>
            </w:r>
          </w:p>
          <w:p>
            <w:pPr>
              <w:rPr>
                <w:rFonts w:ascii="华文细黑" w:hAnsi="华文细黑" w:eastAsia="华文细黑"/>
                <w:sz w:val="24"/>
                <w:szCs w:val="24"/>
              </w:rPr>
            </w:pPr>
            <w:r>
              <w:rPr>
                <w:rFonts w:hint="eastAsia" w:ascii="华文细黑" w:hAnsi="华文细黑" w:eastAsia="华文细黑" w:cs="华文细黑"/>
                <w:sz w:val="24"/>
                <w:szCs w:val="24"/>
              </w:rPr>
              <w:t>账号：</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widowControl/>
              <w:jc w:val="left"/>
              <w:rPr>
                <w:rFonts w:ascii="华文细黑" w:hAnsi="华文细黑" w:eastAsia="华文细黑"/>
                <w:sz w:val="24"/>
                <w:szCs w:val="24"/>
              </w:rPr>
            </w:pPr>
          </w:p>
          <w:p>
            <w:pPr>
              <w:widowControl/>
              <w:jc w:val="left"/>
              <w:rPr>
                <w:rFonts w:ascii="华文细黑" w:hAnsi="华文细黑" w:eastAsia="华文细黑"/>
                <w:sz w:val="24"/>
                <w:szCs w:val="24"/>
              </w:rPr>
            </w:pPr>
          </w:p>
          <w:p>
            <w:pPr>
              <w:rPr>
                <w:rFonts w:ascii="华文细黑" w:hAnsi="华文细黑" w:eastAsia="华文细黑"/>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4"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备注：</w:t>
            </w:r>
          </w:p>
        </w:tc>
      </w:tr>
    </w:tbl>
    <w:p>
      <w:pPr>
        <w:ind w:right="-153"/>
        <w:rPr>
          <w:rFonts w:ascii="华文细黑" w:hAnsi="华文细黑" w:eastAsia="华文细黑"/>
          <w:sz w:val="24"/>
          <w:szCs w:val="24"/>
        </w:rPr>
      </w:pPr>
      <w:r>
        <w:rPr>
          <w:rFonts w:hint="eastAsia" w:ascii="华文细黑" w:hAnsi="华文细黑" w:eastAsia="华文细黑" w:cs="华文细黑"/>
          <w:sz w:val="24"/>
          <w:szCs w:val="24"/>
        </w:rPr>
        <w:t>签约时间：</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年月日</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签约地点：</w:t>
      </w:r>
    </w:p>
    <w:p>
      <w:pPr>
        <w:ind w:right="-153"/>
        <w:rPr>
          <w:rFonts w:ascii="华文细黑" w:hAnsi="华文细黑" w:eastAsia="华文细黑"/>
          <w:sz w:val="24"/>
          <w:szCs w:val="24"/>
        </w:rPr>
      </w:pPr>
    </w:p>
    <w:p>
      <w:pPr>
        <w:ind w:right="-153"/>
        <w:rPr>
          <w:rFonts w:ascii="华文细黑" w:hAnsi="华文细黑" w:eastAsia="华文细黑"/>
          <w:color w:val="000000"/>
          <w:sz w:val="24"/>
          <w:szCs w:val="24"/>
        </w:rPr>
      </w:pPr>
    </w:p>
    <w:p>
      <w:pPr>
        <w:jc w:val="center"/>
        <w:outlineLvl w:val="0"/>
        <w:rPr>
          <w:rFonts w:ascii="华文细黑" w:hAnsi="华文细黑" w:eastAsia="华文细黑"/>
          <w:b/>
          <w:bCs/>
          <w:sz w:val="30"/>
          <w:szCs w:val="30"/>
        </w:rPr>
      </w:pPr>
      <w:bookmarkStart w:id="108" w:name="_Toc14415"/>
      <w:bookmarkStart w:id="109" w:name="_Toc246305568"/>
      <w:bookmarkStart w:id="110" w:name="_Toc342656771"/>
      <w:r>
        <w:rPr>
          <w:rFonts w:hint="eastAsia" w:ascii="华文细黑" w:hAnsi="华文细黑" w:eastAsia="华文细黑" w:cs="华文细黑"/>
          <w:b/>
          <w:bCs/>
          <w:sz w:val="30"/>
          <w:szCs w:val="30"/>
        </w:rPr>
        <w:t>第五篇　询价采购报价文件格式要求</w:t>
      </w:r>
      <w:bookmarkEnd w:id="108"/>
      <w:bookmarkEnd w:id="109"/>
      <w:bookmarkEnd w:id="110"/>
    </w:p>
    <w:p>
      <w:pPr>
        <w:jc w:val="left"/>
        <w:outlineLvl w:val="1"/>
        <w:rPr>
          <w:rFonts w:ascii="华文细黑" w:hAnsi="华文细黑" w:eastAsia="华文细黑"/>
          <w:b/>
          <w:bCs/>
        </w:rPr>
      </w:pPr>
      <w:bookmarkStart w:id="111" w:name="_Toc491"/>
      <w:r>
        <w:rPr>
          <w:rFonts w:hint="eastAsia" w:ascii="华文细黑" w:hAnsi="华文细黑" w:eastAsia="华文细黑" w:cs="华文细黑"/>
          <w:b/>
          <w:bCs/>
        </w:rPr>
        <w:t>一、报价部分</w:t>
      </w:r>
      <w:bookmarkEnd w:id="111"/>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（一）．竞价函</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（二）．产品及配件的明细报价</w:t>
      </w:r>
    </w:p>
    <w:p>
      <w:pPr>
        <w:snapToGrid w:val="0"/>
        <w:spacing w:line="360" w:lineRule="auto"/>
        <w:ind w:firstLine="1413" w:firstLineChars="588"/>
        <w:rPr>
          <w:rFonts w:ascii="华文细黑" w:hAnsi="华文细黑" w:eastAsia="华文细黑"/>
          <w:b/>
          <w:bCs/>
          <w:sz w:val="24"/>
          <w:szCs w:val="24"/>
        </w:rPr>
      </w:pPr>
      <w:r>
        <w:rPr>
          <w:rFonts w:hint="eastAsia" w:ascii="华文细黑" w:hAnsi="华文细黑" w:eastAsia="华文细黑" w:cs="华文细黑"/>
          <w:b/>
          <w:bCs/>
          <w:sz w:val="24"/>
          <w:szCs w:val="24"/>
        </w:rPr>
        <w:t>注：以上两项须单独装袋密封。</w:t>
      </w:r>
    </w:p>
    <w:p>
      <w:pPr>
        <w:jc w:val="left"/>
        <w:outlineLvl w:val="1"/>
        <w:rPr>
          <w:rFonts w:ascii="华文细黑" w:hAnsi="华文细黑" w:eastAsia="华文细黑"/>
          <w:b/>
          <w:bCs/>
        </w:rPr>
      </w:pPr>
      <w:bookmarkStart w:id="112" w:name="_Toc18096"/>
      <w:r>
        <w:rPr>
          <w:rFonts w:hint="eastAsia" w:ascii="华文细黑" w:hAnsi="华文细黑" w:eastAsia="华文细黑" w:cs="华文细黑"/>
          <w:b/>
          <w:bCs/>
        </w:rPr>
        <w:t>二、商务、技术部分</w:t>
      </w:r>
      <w:bookmarkEnd w:id="112"/>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（三）．所投产品及配件的技术参数、产地、品牌、性能介绍等</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（四）．商务条款承诺及其他优惠承诺</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（五）．法定代表人身份证明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（六）．法定代表人授权委托书</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（七）．供应商的企业法人营业执照复印件</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（八）其他应提供的证明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（九）偏移表</w:t>
      </w:r>
    </w:p>
    <w:p>
      <w:pPr>
        <w:snapToGrid w:val="0"/>
        <w:spacing w:line="360" w:lineRule="auto"/>
        <w:rPr>
          <w:rFonts w:ascii="华文细黑" w:hAnsi="华文细黑" w:eastAsia="华文细黑"/>
          <w:b/>
          <w:bCs/>
          <w:sz w:val="24"/>
          <w:szCs w:val="24"/>
        </w:rPr>
      </w:pPr>
      <w:r>
        <w:rPr>
          <w:rFonts w:hint="eastAsia" w:ascii="华文细黑" w:hAnsi="华文细黑" w:eastAsia="华文细黑" w:cs="华文细黑"/>
          <w:b/>
          <w:bCs/>
          <w:sz w:val="24"/>
          <w:szCs w:val="24"/>
        </w:rPr>
        <w:t>供应商注意事项：</w:t>
      </w:r>
    </w:p>
    <w:p>
      <w:pPr>
        <w:snapToGrid w:val="0"/>
        <w:spacing w:line="360" w:lineRule="auto"/>
        <w:ind w:firstLine="573"/>
        <w:rPr>
          <w:rFonts w:ascii="华文细黑" w:hAnsi="华文细黑" w:eastAsia="华文细黑"/>
          <w:b/>
          <w:bCs/>
          <w:color w:val="000000"/>
          <w:kern w:val="0"/>
          <w:sz w:val="24"/>
          <w:szCs w:val="24"/>
        </w:rPr>
        <w:sectPr>
          <w:headerReference r:id="rId10" w:type="default"/>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b/>
          <w:bCs/>
          <w:sz w:val="24"/>
          <w:szCs w:val="24"/>
        </w:rPr>
        <w:t>询价采购文件的正本每一页必需加盖公章或法人授权代表的签字。</w:t>
      </w:r>
    </w:p>
    <w:p>
      <w:pPr>
        <w:jc w:val="center"/>
        <w:outlineLvl w:val="1"/>
        <w:rPr>
          <w:rFonts w:ascii="华文细黑" w:hAnsi="华文细黑" w:eastAsia="华文细黑"/>
          <w:b/>
          <w:bCs/>
        </w:rPr>
      </w:pPr>
      <w:bookmarkStart w:id="113" w:name="_Toc1541"/>
      <w:bookmarkStart w:id="114" w:name="_Toc246305569"/>
      <w:bookmarkStart w:id="115" w:name="_Toc342656772"/>
      <w:bookmarkStart w:id="116" w:name="_Toc223847764"/>
      <w:r>
        <w:rPr>
          <w:rFonts w:hint="eastAsia" w:ascii="华文细黑" w:hAnsi="华文细黑" w:eastAsia="华文细黑" w:cs="华文细黑"/>
          <w:b/>
          <w:bCs/>
        </w:rPr>
        <w:t>（一）、竞价函</w:t>
      </w:r>
      <w:bookmarkEnd w:id="113"/>
      <w:bookmarkEnd w:id="114"/>
      <w:bookmarkEnd w:id="115"/>
      <w:bookmarkEnd w:id="116"/>
    </w:p>
    <w:p>
      <w:pPr>
        <w:tabs>
          <w:tab w:val="left" w:pos="6300"/>
        </w:tabs>
        <w:snapToGrid w:val="0"/>
        <w:spacing w:line="360" w:lineRule="auto"/>
        <w:jc w:val="center"/>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四川外国语大学：</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我方收到的询价采购文件，经详细研究，决定参加该询价采购的报价。</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愿意按照询价采购文件中的一切要求，提供设备的制造（购买）及技术服务，报价总价为人民币大写：</w:t>
      </w:r>
      <w:r>
        <w:rPr>
          <w:rFonts w:ascii="华文细黑" w:hAnsi="华文细黑" w:eastAsia="华文细黑" w:cs="华文细黑"/>
          <w:sz w:val="24"/>
          <w:szCs w:val="24"/>
        </w:rPr>
        <w:t>_______________</w:t>
      </w:r>
      <w:r>
        <w:rPr>
          <w:rFonts w:hint="eastAsia" w:ascii="华文细黑" w:hAnsi="华文细黑" w:eastAsia="华文细黑" w:cs="华文细黑"/>
          <w:sz w:val="24"/>
          <w:szCs w:val="24"/>
        </w:rPr>
        <w:t>，人民币小写</w:t>
      </w:r>
      <w:r>
        <w:rPr>
          <w:rFonts w:ascii="华文细黑" w:hAnsi="华文细黑" w:eastAsia="华文细黑" w:cs="华文细黑"/>
          <w:sz w:val="24"/>
          <w:szCs w:val="24"/>
        </w:rPr>
        <w:t>RMB</w:t>
      </w:r>
      <w:r>
        <w:rPr>
          <w:rFonts w:hint="eastAsia" w:ascii="华文细黑" w:hAnsi="华文细黑" w:eastAsia="华文细黑" w:cs="华文细黑"/>
          <w:sz w:val="24"/>
          <w:szCs w:val="24"/>
        </w:rPr>
        <w:t>：</w:t>
      </w:r>
      <w:r>
        <w:rPr>
          <w:rFonts w:ascii="华文细黑" w:hAnsi="华文细黑" w:eastAsia="华文细黑" w:cs="华文细黑"/>
          <w:sz w:val="24"/>
          <w:szCs w:val="24"/>
        </w:rPr>
        <w:t>________________</w:t>
      </w:r>
      <w:r>
        <w:rPr>
          <w:rFonts w:hint="eastAsia" w:ascii="华文细黑" w:hAnsi="华文细黑" w:eastAsia="华文细黑" w:cs="华文细黑"/>
          <w:sz w:val="24"/>
          <w:szCs w:val="24"/>
        </w:rPr>
        <w:t>。</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我方现提交的投标文件为：投标文件正本壹份，副本贰份。</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如果我方投标文件被接受，我方将履行投标文件中规定的各项要求，按合同约定条款承担我方的责任。</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我方同意按询价采购文件规定，交纳询价采购保证金，中标后转为部分履约保证金。</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地址：</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电话：传真：</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网址：邮编：</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联系人：</w:t>
      </w:r>
    </w:p>
    <w:p>
      <w:pPr>
        <w:tabs>
          <w:tab w:val="left" w:pos="6300"/>
        </w:tabs>
        <w:snapToGrid w:val="0"/>
        <w:spacing w:line="360" w:lineRule="auto"/>
        <w:ind w:firstLine="570"/>
        <w:rPr>
          <w:rFonts w:ascii="华文细黑" w:hAnsi="华文细黑" w:eastAsia="华文细黑"/>
          <w:sz w:val="24"/>
          <w:szCs w:val="24"/>
        </w:rPr>
      </w:pPr>
    </w:p>
    <w:p>
      <w:pPr>
        <w:snapToGrid w:val="0"/>
        <w:spacing w:line="360" w:lineRule="auto"/>
        <w:ind w:firstLine="560"/>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sz w:val="24"/>
          <w:szCs w:val="24"/>
        </w:rPr>
        <w:t>年月日</w:t>
      </w:r>
    </w:p>
    <w:p>
      <w:pPr>
        <w:jc w:val="left"/>
        <w:outlineLvl w:val="1"/>
        <w:rPr>
          <w:rFonts w:ascii="华文细黑" w:hAnsi="华文细黑" w:eastAsia="华文细黑"/>
          <w:b/>
          <w:bCs/>
        </w:rPr>
      </w:pPr>
      <w:bookmarkStart w:id="117" w:name="_Toc342656773"/>
      <w:bookmarkStart w:id="118" w:name="_Toc246305570"/>
      <w:bookmarkStart w:id="119" w:name="_Toc223847765"/>
      <w:bookmarkStart w:id="120" w:name="_Toc1997"/>
      <w:r>
        <w:rPr>
          <w:rFonts w:hint="eastAsia" w:ascii="华文细黑" w:hAnsi="华文细黑" w:eastAsia="华文细黑" w:cs="华文细黑"/>
          <w:b/>
          <w:bCs/>
        </w:rPr>
        <w:t>（二）、</w:t>
      </w:r>
      <w:bookmarkEnd w:id="117"/>
      <w:bookmarkEnd w:id="118"/>
      <w:bookmarkEnd w:id="119"/>
      <w:r>
        <w:rPr>
          <w:rFonts w:hint="eastAsia" w:ascii="华文细黑" w:hAnsi="华文细黑" w:eastAsia="华文细黑" w:cs="华文细黑"/>
          <w:b/>
          <w:bCs/>
        </w:rPr>
        <w:t>产品及配件的明细报价</w:t>
      </w:r>
      <w:bookmarkEnd w:id="120"/>
    </w:p>
    <w:tbl>
      <w:tblPr>
        <w:tblStyle w:val="29"/>
        <w:tblW w:w="8662" w:type="dxa"/>
        <w:tblInd w:w="-106" w:type="dxa"/>
        <w:tblLayout w:type="fixed"/>
        <w:tblCellMar>
          <w:top w:w="0" w:type="dxa"/>
          <w:left w:w="108" w:type="dxa"/>
          <w:bottom w:w="0" w:type="dxa"/>
          <w:right w:w="108" w:type="dxa"/>
        </w:tblCellMar>
      </w:tblPr>
      <w:tblGrid>
        <w:gridCol w:w="724"/>
        <w:gridCol w:w="709"/>
        <w:gridCol w:w="709"/>
        <w:gridCol w:w="708"/>
        <w:gridCol w:w="1843"/>
        <w:gridCol w:w="851"/>
        <w:gridCol w:w="850"/>
        <w:gridCol w:w="851"/>
        <w:gridCol w:w="1417"/>
      </w:tblGrid>
      <w:tr>
        <w:tblPrEx>
          <w:tblLayout w:type="fixed"/>
          <w:tblCellMar>
            <w:top w:w="0" w:type="dxa"/>
            <w:left w:w="108" w:type="dxa"/>
            <w:bottom w:w="0" w:type="dxa"/>
            <w:right w:w="108" w:type="dxa"/>
          </w:tblCellMar>
        </w:tblPrEx>
        <w:trPr>
          <w:trHeight w:val="320" w:hRule="atLeast"/>
        </w:trPr>
        <w:tc>
          <w:tcPr>
            <w:tcW w:w="72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序号</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名称</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品牌</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型号</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技术参数要求</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数量</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单位</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单价</w:t>
            </w:r>
          </w:p>
        </w:tc>
        <w:tc>
          <w:tcPr>
            <w:tcW w:w="141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金额</w:t>
            </w:r>
          </w:p>
        </w:tc>
      </w:tr>
      <w:tr>
        <w:tblPrEx>
          <w:tblLayout w:type="fixed"/>
          <w:tblCellMar>
            <w:top w:w="0" w:type="dxa"/>
            <w:left w:w="108" w:type="dxa"/>
            <w:bottom w:w="0" w:type="dxa"/>
            <w:right w:w="108" w:type="dxa"/>
          </w:tblCellMar>
        </w:tblPrEx>
        <w:trPr>
          <w:trHeight w:val="58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6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56"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52"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938" w:type="dxa"/>
            <w:gridSpan w:val="8"/>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r>
              <w:rPr>
                <w:rFonts w:hint="eastAsia" w:ascii="华文细黑" w:hAnsi="华文细黑" w:eastAsia="华文细黑" w:cs="华文细黑"/>
                <w:kern w:val="0"/>
                <w:sz w:val="20"/>
                <w:szCs w:val="20"/>
              </w:rPr>
              <w:t>报价为：（大写）</w:t>
            </w:r>
          </w:p>
        </w:tc>
      </w:tr>
    </w:tbl>
    <w:p>
      <w:pPr>
        <w:spacing w:line="260" w:lineRule="atLeast"/>
        <w:ind w:right="-965"/>
        <w:rPr>
          <w:rFonts w:ascii="华文细黑" w:hAnsi="华文细黑" w:eastAsia="华文细黑"/>
          <w:sz w:val="24"/>
          <w:szCs w:val="24"/>
        </w:rPr>
      </w:pPr>
      <w:r>
        <w:rPr>
          <w:rFonts w:hint="eastAsia" w:ascii="华文细黑" w:hAnsi="华文细黑" w:eastAsia="华文细黑" w:cs="华文细黑"/>
          <w:sz w:val="24"/>
          <w:szCs w:val="24"/>
        </w:rPr>
        <w:t>注：以上各合同包的报价均包括货物价、运费、各种税费、安装调试费等。</w:t>
      </w:r>
    </w:p>
    <w:p>
      <w:pPr>
        <w:spacing w:line="260" w:lineRule="atLeast"/>
        <w:ind w:right="-965" w:firstLine="600" w:firstLineChars="250"/>
        <w:rPr>
          <w:rFonts w:ascii="华文细黑" w:hAnsi="华文细黑" w:eastAsia="华文细黑"/>
          <w:sz w:val="24"/>
          <w:szCs w:val="24"/>
        </w:rPr>
      </w:pPr>
      <w:r>
        <w:rPr>
          <w:rFonts w:ascii="华文细黑" w:hAnsi="华文细黑" w:eastAsia="华文细黑" w:cs="华文细黑"/>
          <w:sz w:val="24"/>
          <w:szCs w:val="24"/>
        </w:rPr>
        <w:t>(</w:t>
      </w:r>
      <w:r>
        <w:rPr>
          <w:rFonts w:hint="eastAsia" w:ascii="华文细黑" w:hAnsi="华文细黑" w:eastAsia="华文细黑" w:cs="华文细黑"/>
          <w:sz w:val="24"/>
          <w:szCs w:val="24"/>
        </w:rPr>
        <w:t>若不够填写可附页）</w:t>
      </w:r>
    </w:p>
    <w:p>
      <w:pPr>
        <w:spacing w:line="260" w:lineRule="atLeast"/>
        <w:ind w:right="-965" w:firstLine="600" w:firstLineChars="250"/>
        <w:rPr>
          <w:rFonts w:ascii="华文细黑" w:hAnsi="华文细黑" w:eastAsia="华文细黑"/>
          <w:sz w:val="24"/>
          <w:szCs w:val="24"/>
        </w:rPr>
      </w:pPr>
    </w:p>
    <w:p>
      <w:pPr>
        <w:spacing w:line="260" w:lineRule="atLeast"/>
        <w:ind w:right="-965"/>
        <w:rPr>
          <w:rFonts w:ascii="华文细黑" w:hAnsi="华文细黑" w:eastAsia="华文细黑"/>
          <w:sz w:val="24"/>
          <w:szCs w:val="24"/>
        </w:rPr>
      </w:pPr>
    </w:p>
    <w:p>
      <w:pPr>
        <w:ind w:left="137" w:hanging="137" w:hangingChars="49"/>
        <w:jc w:val="left"/>
        <w:outlineLvl w:val="1"/>
        <w:rPr>
          <w:rFonts w:ascii="华文细黑" w:hAnsi="华文细黑" w:eastAsia="华文细黑"/>
          <w:b/>
          <w:bCs/>
        </w:rPr>
      </w:pPr>
      <w:bookmarkStart w:id="121" w:name="_Toc18698"/>
      <w:r>
        <w:rPr>
          <w:rFonts w:hint="eastAsia" w:ascii="华文细黑" w:hAnsi="华文细黑" w:eastAsia="华文细黑" w:cs="华文细黑"/>
          <w:b/>
          <w:bCs/>
        </w:rPr>
        <w:t>（三）、所投产品及配件的技术参数、产地、品牌、性能介绍等</w:t>
      </w:r>
      <w:r>
        <w:rPr>
          <w:rFonts w:hint="eastAsia" w:ascii="华文细黑" w:hAnsi="华文细黑" w:eastAsia="华文细黑" w:cs="华文细黑"/>
          <w:sz w:val="24"/>
          <w:szCs w:val="24"/>
        </w:rPr>
        <w:t>（格式自定）</w:t>
      </w:r>
      <w:bookmarkEnd w:id="121"/>
    </w:p>
    <w:p>
      <w:pPr>
        <w:spacing w:line="260" w:lineRule="atLeast"/>
        <w:ind w:right="-965"/>
        <w:rPr>
          <w:rFonts w:ascii="华文细黑" w:hAnsi="华文细黑" w:eastAsia="华文细黑"/>
          <w:sz w:val="24"/>
          <w:szCs w:val="24"/>
        </w:rPr>
      </w:pPr>
    </w:p>
    <w:p>
      <w:pPr>
        <w:jc w:val="left"/>
        <w:outlineLvl w:val="1"/>
        <w:rPr>
          <w:rFonts w:ascii="华文细黑" w:hAnsi="华文细黑" w:eastAsia="华文细黑"/>
          <w:sz w:val="24"/>
          <w:szCs w:val="24"/>
        </w:rPr>
      </w:pPr>
      <w:bookmarkStart w:id="122" w:name="_Toc24513"/>
      <w:r>
        <w:rPr>
          <w:rFonts w:hint="eastAsia" w:ascii="华文细黑" w:hAnsi="华文细黑" w:eastAsia="华文细黑" w:cs="华文细黑"/>
          <w:b/>
          <w:bCs/>
        </w:rPr>
        <w:t>（四）、商务条款承诺及其他优惠承诺</w:t>
      </w:r>
      <w:r>
        <w:rPr>
          <w:rFonts w:hint="eastAsia" w:ascii="华文细黑" w:hAnsi="华文细黑" w:eastAsia="华文细黑" w:cs="华文细黑"/>
          <w:sz w:val="24"/>
          <w:szCs w:val="24"/>
        </w:rPr>
        <w:t>（格式自定）</w:t>
      </w:r>
      <w:bookmarkEnd w:id="122"/>
    </w:p>
    <w:p>
      <w:pPr>
        <w:spacing w:line="260" w:lineRule="atLeast"/>
        <w:ind w:right="-965"/>
        <w:rPr>
          <w:rFonts w:ascii="华文细黑" w:hAnsi="华文细黑" w:eastAsia="华文细黑"/>
          <w:sz w:val="24"/>
          <w:szCs w:val="24"/>
        </w:rPr>
      </w:pPr>
    </w:p>
    <w:p>
      <w:pPr>
        <w:outlineLvl w:val="1"/>
        <w:rPr>
          <w:rFonts w:ascii="华文细黑" w:hAnsi="华文细黑" w:eastAsia="华文细黑"/>
          <w:b/>
          <w:bCs/>
        </w:rPr>
      </w:pPr>
      <w:bookmarkStart w:id="123" w:name="_Toc16833"/>
      <w:r>
        <w:rPr>
          <w:rFonts w:hint="eastAsia" w:ascii="华文细黑" w:hAnsi="华文细黑" w:eastAsia="华文细黑" w:cs="华文细黑"/>
          <w:b/>
          <w:bCs/>
        </w:rPr>
        <w:t>（五）、法定代表人身份证明书（格式）</w:t>
      </w:r>
      <w:bookmarkEnd w:id="123"/>
    </w:p>
    <w:p>
      <w:pPr>
        <w:spacing w:line="260" w:lineRule="atLeast"/>
        <w:ind w:right="-965"/>
        <w:rPr>
          <w:rFonts w:ascii="华文细黑" w:hAnsi="华文细黑" w:eastAsia="华文细黑"/>
          <w:sz w:val="24"/>
          <w:szCs w:val="24"/>
        </w:rPr>
      </w:pPr>
    </w:p>
    <w:p>
      <w:pPr>
        <w:tabs>
          <w:tab w:val="left" w:pos="6300"/>
        </w:tabs>
        <w:snapToGrid w:val="0"/>
        <w:spacing w:line="360" w:lineRule="auto"/>
        <w:ind w:firstLine="748"/>
        <w:rPr>
          <w:rFonts w:ascii="华文细黑" w:hAnsi="华文细黑" w:eastAsia="华文细黑"/>
          <w:sz w:val="24"/>
          <w:szCs w:val="24"/>
        </w:rPr>
      </w:pPr>
      <w:r>
        <w:rPr>
          <w:rFonts w:hint="eastAsia" w:ascii="华文细黑" w:hAnsi="华文细黑" w:eastAsia="华文细黑" w:cs="华文细黑"/>
          <w:sz w:val="24"/>
          <w:szCs w:val="24"/>
        </w:rPr>
        <w:t>（法定代表人姓名）在（供应商名称）任（职务名称）职务，是</w:t>
      </w:r>
      <w:r>
        <w:rPr>
          <w:rFonts w:ascii="华文细黑" w:hAnsi="华文细黑" w:eastAsia="华文细黑" w:cs="华文细黑"/>
          <w:sz w:val="24"/>
          <w:szCs w:val="24"/>
        </w:rPr>
        <w:t>_____   _____________</w:t>
      </w:r>
      <w:r>
        <w:rPr>
          <w:rFonts w:hint="eastAsia" w:ascii="华文细黑" w:hAnsi="华文细黑" w:eastAsia="华文细黑" w:cs="华文细黑"/>
          <w:sz w:val="24"/>
          <w:szCs w:val="24"/>
        </w:rPr>
        <w:t>（供应商名称）的法定代表人。</w:t>
      </w:r>
    </w:p>
    <w:p>
      <w:pPr>
        <w:tabs>
          <w:tab w:val="left" w:pos="6300"/>
        </w:tabs>
        <w:snapToGrid w:val="0"/>
        <w:spacing w:line="500" w:lineRule="atLeast"/>
        <w:ind w:firstLine="573"/>
        <w:rPr>
          <w:rFonts w:ascii="华文细黑" w:hAnsi="华文细黑" w:eastAsia="华文细黑"/>
          <w:sz w:val="24"/>
          <w:szCs w:val="24"/>
        </w:rPr>
      </w:pPr>
      <w:bookmarkStart w:id="124" w:name="_Toc246305572"/>
      <w:r>
        <w:rPr>
          <w:rFonts w:hint="eastAsia" w:ascii="华文细黑" w:hAnsi="华文细黑" w:eastAsia="华文细黑" w:cs="华文细黑"/>
          <w:sz w:val="24"/>
          <w:szCs w:val="24"/>
        </w:rPr>
        <w:t>特此证明。</w:t>
      </w:r>
      <w:bookmarkEnd w:id="124"/>
    </w:p>
    <w:p>
      <w:pPr>
        <w:tabs>
          <w:tab w:val="left" w:pos="6300"/>
        </w:tabs>
        <w:snapToGrid w:val="0"/>
        <w:spacing w:line="400" w:lineRule="atLeast"/>
        <w:rPr>
          <w:rFonts w:ascii="华文细黑" w:hAnsi="华文细黑" w:eastAsia="华文细黑"/>
          <w:sz w:val="24"/>
          <w:szCs w:val="24"/>
        </w:rPr>
      </w:pPr>
      <w:bookmarkStart w:id="125" w:name="_Toc246305573"/>
      <w:r>
        <w:rPr>
          <w:rFonts w:hint="eastAsia" w:ascii="华文细黑" w:hAnsi="华文细黑" w:eastAsia="华文细黑" w:cs="华文细黑"/>
          <w:sz w:val="24"/>
          <w:szCs w:val="24"/>
        </w:rPr>
        <w:t>（供应商全称）</w:t>
      </w:r>
      <w:bookmarkEnd w:id="125"/>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年月日</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（公章）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附：上述法定代表人住址：</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身份证号码：</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电传：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网址：</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邮政编码：</w:t>
      </w:r>
    </w:p>
    <w:p>
      <w:pPr>
        <w:spacing w:line="260" w:lineRule="atLeast"/>
        <w:ind w:right="-965"/>
        <w:rPr>
          <w:rFonts w:ascii="华文细黑" w:hAnsi="华文细黑" w:eastAsia="华文细黑"/>
          <w:sz w:val="24"/>
          <w:szCs w:val="24"/>
        </w:rPr>
      </w:pPr>
    </w:p>
    <w:p>
      <w:pPr>
        <w:tabs>
          <w:tab w:val="left" w:pos="6300"/>
        </w:tabs>
        <w:snapToGrid w:val="0"/>
        <w:spacing w:line="500" w:lineRule="exact"/>
        <w:ind w:firstLine="570"/>
        <w:rPr>
          <w:rFonts w:ascii="华文细黑" w:hAnsi="华文细黑" w:eastAsia="华文细黑"/>
          <w:sz w:val="24"/>
          <w:szCs w:val="24"/>
        </w:rPr>
      </w:pPr>
      <w:r>
        <w:rPr>
          <w:rFonts w:hint="eastAsia" w:ascii="华文细黑" w:hAnsi="华文细黑" w:eastAsia="华文细黑" w:cs="华文细黑"/>
          <w:sz w:val="24"/>
          <w:szCs w:val="24"/>
        </w:rPr>
        <w:t>（附：法定代表人身份证复印件）</w:t>
      </w:r>
    </w:p>
    <w:p>
      <w:pPr>
        <w:spacing w:line="260" w:lineRule="atLeast"/>
        <w:ind w:right="-965"/>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p>
    <w:p>
      <w:pPr>
        <w:jc w:val="center"/>
        <w:outlineLvl w:val="1"/>
        <w:rPr>
          <w:rFonts w:ascii="华文细黑" w:hAnsi="华文细黑" w:eastAsia="华文细黑"/>
          <w:b/>
          <w:bCs/>
        </w:rPr>
      </w:pPr>
      <w:bookmarkStart w:id="126" w:name="_Toc223847767"/>
      <w:bookmarkStart w:id="127" w:name="_Toc18695"/>
      <w:bookmarkStart w:id="128" w:name="_Toc342656775"/>
      <w:bookmarkStart w:id="129" w:name="_Toc246305574"/>
      <w:r>
        <w:rPr>
          <w:rFonts w:hint="eastAsia" w:ascii="华文细黑" w:hAnsi="华文细黑" w:eastAsia="华文细黑" w:cs="华文细黑"/>
          <w:b/>
          <w:bCs/>
        </w:rPr>
        <w:t>（六）、法定代表人授权委托书（格式）</w:t>
      </w:r>
      <w:bookmarkEnd w:id="126"/>
      <w:bookmarkEnd w:id="127"/>
      <w:bookmarkEnd w:id="128"/>
      <w:bookmarkEnd w:id="129"/>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项目名称：</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日期：</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_____________________</w:t>
      </w:r>
      <w:r>
        <w:rPr>
          <w:rFonts w:hint="eastAsia" w:ascii="华文细黑" w:hAnsi="华文细黑" w:eastAsia="华文细黑" w:cs="华文细黑"/>
          <w:sz w:val="24"/>
          <w:szCs w:val="24"/>
        </w:rPr>
        <w:t>（供应商名称）是中华人民共和国合法企业，法定地址</w:t>
      </w:r>
      <w:r>
        <w:rPr>
          <w:rFonts w:ascii="华文细黑" w:hAnsi="华文细黑" w:eastAsia="华文细黑" w:cs="华文细黑"/>
          <w:sz w:val="24"/>
          <w:szCs w:val="24"/>
        </w:rPr>
        <w:t>______________________________</w:t>
      </w:r>
      <w:r>
        <w:rPr>
          <w:rFonts w:hint="eastAsia" w:ascii="华文细黑" w:hAnsi="华文细黑" w:eastAsia="华文细黑" w:cs="华文细黑"/>
          <w:sz w:val="24"/>
          <w:szCs w:val="24"/>
        </w:rPr>
        <w:t>。</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 xml:space="preserve"> _________</w:t>
      </w:r>
      <w:r>
        <w:rPr>
          <w:rFonts w:hint="eastAsia" w:ascii="华文细黑" w:hAnsi="华文细黑" w:eastAsia="华文细黑" w:cs="华文细黑"/>
          <w:sz w:val="24"/>
          <w:szCs w:val="24"/>
        </w:rPr>
        <w:t>（供应商法定代表人姓名）特授权</w:t>
      </w:r>
      <w:r>
        <w:rPr>
          <w:rFonts w:ascii="华文细黑" w:hAnsi="华文细黑" w:eastAsia="华文细黑" w:cs="华文细黑"/>
          <w:sz w:val="24"/>
          <w:szCs w:val="24"/>
        </w:rPr>
        <w:t>_________</w:t>
      </w:r>
      <w:r>
        <w:rPr>
          <w:rFonts w:hint="eastAsia" w:ascii="华文细黑" w:hAnsi="华文细黑" w:eastAsia="华文细黑" w:cs="华文细黑"/>
          <w:sz w:val="24"/>
          <w:szCs w:val="24"/>
        </w:rPr>
        <w:t>（被授权人姓名及身份证代码）代表我单位全权办理对上述项目的谈判、签约等具体工作，并签署全部有关的文件、协议及合同。</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我单位对被授权人的签名负全部责任。</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被授权人签名：法定代表人签名：</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职务：职务：</w:t>
      </w:r>
    </w:p>
    <w:p>
      <w:pPr>
        <w:snapToGrid w:val="0"/>
        <w:spacing w:line="360" w:lineRule="auto"/>
        <w:ind w:firstLine="4560" w:firstLineChars="19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500" w:lineRule="exact"/>
        <w:ind w:firstLine="570"/>
        <w:rPr>
          <w:rFonts w:ascii="华文细黑" w:hAnsi="华文细黑" w:eastAsia="华文细黑"/>
          <w:sz w:val="24"/>
          <w:szCs w:val="24"/>
        </w:rPr>
      </w:pPr>
      <w:bookmarkStart w:id="130" w:name="OLE_LINK3"/>
      <w:bookmarkStart w:id="131" w:name="OLE_LINK4"/>
      <w:r>
        <w:rPr>
          <w:rFonts w:hint="eastAsia" w:ascii="华文细黑" w:hAnsi="华文细黑" w:eastAsia="华文细黑" w:cs="华文细黑"/>
          <w:sz w:val="24"/>
          <w:szCs w:val="24"/>
        </w:rPr>
        <w:t>（附：被授权人身份证复印件）</w:t>
      </w:r>
      <w:bookmarkEnd w:id="130"/>
      <w:bookmarkEnd w:id="131"/>
    </w:p>
    <w:p>
      <w:pPr>
        <w:snapToGrid w:val="0"/>
        <w:spacing w:line="360" w:lineRule="auto"/>
        <w:rPr>
          <w:rFonts w:ascii="华文细黑" w:hAnsi="华文细黑" w:eastAsia="华文细黑"/>
          <w:sz w:val="24"/>
          <w:szCs w:val="24"/>
        </w:rPr>
      </w:pPr>
    </w:p>
    <w:p>
      <w:pPr>
        <w:snapToGrid w:val="0"/>
        <w:spacing w:line="360" w:lineRule="auto"/>
        <w:rPr>
          <w:rFonts w:ascii="华文细黑" w:hAnsi="华文细黑" w:eastAsia="华文细黑"/>
          <w:sz w:val="24"/>
          <w:szCs w:val="24"/>
        </w:rPr>
      </w:pPr>
    </w:p>
    <w:p>
      <w:pPr>
        <w:spacing w:line="360" w:lineRule="auto"/>
        <w:ind w:firstLine="137" w:firstLineChars="49"/>
        <w:outlineLvl w:val="1"/>
        <w:rPr>
          <w:rFonts w:ascii="华文细黑" w:hAnsi="华文细黑" w:eastAsia="华文细黑"/>
          <w:b/>
          <w:bCs/>
        </w:rPr>
      </w:pPr>
      <w:bookmarkStart w:id="132" w:name="_Toc223847768"/>
      <w:bookmarkStart w:id="133" w:name="_Toc246305575"/>
      <w:bookmarkStart w:id="134" w:name="_Toc342656776"/>
      <w:bookmarkStart w:id="135" w:name="_Toc3162"/>
      <w:r>
        <w:rPr>
          <w:rFonts w:hint="eastAsia" w:ascii="华文细黑" w:hAnsi="华文细黑" w:eastAsia="华文细黑" w:cs="华文细黑"/>
          <w:b/>
          <w:bCs/>
        </w:rPr>
        <w:t>（七）、</w:t>
      </w:r>
      <w:bookmarkEnd w:id="132"/>
      <w:bookmarkEnd w:id="133"/>
      <w:bookmarkEnd w:id="134"/>
      <w:r>
        <w:rPr>
          <w:rFonts w:hint="eastAsia" w:ascii="华文细黑" w:hAnsi="华文细黑" w:eastAsia="华文细黑" w:cs="华文细黑"/>
          <w:b/>
          <w:bCs/>
        </w:rPr>
        <w:t>供应商的企业法人营业执照复印件</w:t>
      </w:r>
      <w:bookmarkEnd w:id="135"/>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sz w:val="24"/>
          <w:szCs w:val="24"/>
        </w:rPr>
      </w:pPr>
      <w:bookmarkStart w:id="136" w:name="_Toc21535"/>
      <w:r>
        <w:rPr>
          <w:rFonts w:hint="eastAsia" w:ascii="华文细黑" w:hAnsi="华文细黑" w:eastAsia="华文细黑" w:cs="华文细黑"/>
          <w:b/>
          <w:bCs/>
        </w:rPr>
        <w:t>（八）、其他证明</w:t>
      </w:r>
      <w:r>
        <w:rPr>
          <w:rFonts w:hint="eastAsia" w:ascii="华文细黑" w:hAnsi="华文细黑" w:eastAsia="华文细黑" w:cs="华文细黑"/>
          <w:sz w:val="24"/>
          <w:szCs w:val="24"/>
        </w:rPr>
        <w:t>（格式自定）</w:t>
      </w:r>
      <w:bookmarkEnd w:id="136"/>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、最近一年财务报表的复印件（提供复印件）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、售后服务机构、服务能力证明材料（格式自定）</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、近三个月的缴税记录和社会保险缴纳证明（提供复印件）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、参加政府采购活动前三年内，在经营活动中没有重大违法记录（诚信声明）</w:t>
      </w:r>
    </w:p>
    <w:p>
      <w:pPr>
        <w:tabs>
          <w:tab w:val="left" w:pos="6300"/>
        </w:tabs>
        <w:snapToGrid w:val="0"/>
        <w:spacing w:line="500" w:lineRule="exact"/>
        <w:ind w:firstLine="120" w:firstLineChars="50"/>
        <w:jc w:val="center"/>
        <w:rPr>
          <w:rFonts w:ascii="华文细黑" w:hAnsi="华文细黑" w:eastAsia="华文细黑"/>
          <w:sz w:val="24"/>
          <w:szCs w:val="24"/>
        </w:rPr>
      </w:pPr>
    </w:p>
    <w:p>
      <w:pPr>
        <w:tabs>
          <w:tab w:val="left" w:pos="6300"/>
        </w:tabs>
        <w:snapToGrid w:val="0"/>
        <w:spacing w:line="500" w:lineRule="exact"/>
        <w:ind w:firstLine="120" w:firstLineChars="50"/>
        <w:jc w:val="center"/>
        <w:rPr>
          <w:rFonts w:ascii="华文细黑" w:hAnsi="华文细黑" w:eastAsia="华文细黑"/>
          <w:sz w:val="24"/>
          <w:szCs w:val="24"/>
        </w:rPr>
      </w:pPr>
      <w:r>
        <w:rPr>
          <w:rFonts w:hint="eastAsia" w:ascii="华文细黑" w:hAnsi="华文细黑" w:eastAsia="华文细黑" w:cs="华文细黑"/>
          <w:sz w:val="24"/>
          <w:szCs w:val="24"/>
        </w:rPr>
        <w:t>诚信声明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采购项目名称：</w:t>
      </w: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pStyle w:val="53"/>
        <w:spacing w:line="440" w:lineRule="exact"/>
        <w:ind w:firstLine="480" w:firstLineChars="200"/>
        <w:rPr>
          <w:rFonts w:ascii="华文细黑" w:hAnsi="华文细黑" w:eastAsia="华文细黑" w:cs="Times New Roman"/>
          <w:sz w:val="24"/>
          <w:szCs w:val="24"/>
        </w:rPr>
      </w:pPr>
      <w:r>
        <w:rPr>
          <w:rFonts w:hint="eastAsia" w:ascii="华文细黑" w:hAnsi="华文细黑" w:eastAsia="华文细黑" w:cs="华文细黑"/>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特此声明。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ind w:firstLine="7440" w:firstLineChars="31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right="360" w:firstLine="480" w:firstLineChars="200"/>
        <w:jc w:val="right"/>
        <w:rPr>
          <w:rFonts w:ascii="华文细黑" w:hAnsi="华文细黑" w:eastAsia="华文细黑"/>
          <w:sz w:val="24"/>
          <w:szCs w:val="24"/>
        </w:rPr>
      </w:pPr>
    </w:p>
    <w:p>
      <w:pPr>
        <w:tabs>
          <w:tab w:val="left" w:pos="6300"/>
        </w:tabs>
        <w:snapToGrid w:val="0"/>
        <w:spacing w:line="360" w:lineRule="auto"/>
        <w:ind w:right="360" w:firstLine="480" w:firstLineChars="200"/>
        <w:jc w:val="right"/>
        <w:rPr>
          <w:rFonts w:ascii="华文细黑" w:hAnsi="华文细黑" w:eastAsia="华文细黑"/>
          <w:sz w:val="24"/>
          <w:szCs w:val="24"/>
        </w:rPr>
      </w:pPr>
      <w:r>
        <w:rPr>
          <w:rFonts w:hint="eastAsia" w:ascii="华文细黑" w:hAnsi="华文细黑" w:eastAsia="华文细黑" w:cs="华文细黑"/>
          <w:sz w:val="24"/>
          <w:szCs w:val="24"/>
        </w:rPr>
        <w:t>年月日</w:t>
      </w: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bookmarkStart w:id="137" w:name="_Hlt21142235"/>
      <w:bookmarkEnd w:id="137"/>
      <w:bookmarkStart w:id="138" w:name="_Toc12289"/>
      <w:r>
        <w:rPr>
          <w:rFonts w:hint="eastAsia" w:ascii="华文细黑" w:hAnsi="华文细黑" w:eastAsia="华文细黑" w:cs="华文细黑"/>
          <w:b/>
          <w:bCs/>
        </w:rPr>
        <w:t>（九）偏移表</w:t>
      </w:r>
      <w:r>
        <w:rPr>
          <w:rFonts w:hint="eastAsia" w:ascii="华文细黑" w:hAnsi="华文细黑" w:eastAsia="华文细黑" w:cs="华文细黑"/>
          <w:sz w:val="24"/>
          <w:szCs w:val="24"/>
        </w:rPr>
        <w:t>（格式自定）</w:t>
      </w:r>
      <w:bookmarkEnd w:id="138"/>
    </w:p>
    <w:sectPr>
      <w:headerReference r:id="rId11" w:type="default"/>
      <w:pgSz w:w="11906" w:h="16838"/>
      <w:pgMar w:top="1440" w:right="851" w:bottom="1440" w:left="1797"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rFonts w:hint="eastAsia" w:cs="宋体"/>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w:t>
    </w:r>
    <w:r>
      <w:rPr>
        <w:sz w:val="21"/>
        <w:szCs w:val="21"/>
      </w:rPr>
      <w:fldChar w:fldCharType="end"/>
    </w:r>
    <w:r>
      <w:rPr>
        <w:rFonts w:hint="eastAsia" w:cs="宋体"/>
        <w:sz w:val="21"/>
        <w:szCs w:val="21"/>
      </w:rPr>
      <w:t>页共</w:t>
    </w:r>
    <w:r>
      <w:rPr>
        <w:sz w:val="21"/>
        <w:szCs w:val="21"/>
      </w:rPr>
      <w:t xml:space="preserve"> 1</w:t>
    </w:r>
    <w:r>
      <w:rPr>
        <w:rFonts w:hint="eastAsia"/>
        <w:sz w:val="21"/>
        <w:szCs w:val="21"/>
      </w:rPr>
      <w:t>9</w:t>
    </w:r>
    <w:r>
      <w:rPr>
        <w:sz w:val="21"/>
        <w:szCs w:val="21"/>
      </w:rPr>
      <w:t xml:space="preserve"> </w:t>
    </w:r>
    <w:r>
      <w:rPr>
        <w:rFonts w:hint="eastAsia" w:cs="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8"/>
        <w:szCs w:val="28"/>
      </w:rPr>
    </w:pP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华文细黑" w:hAnsi="华文细黑" w:eastAsia="华文细黑"/>
        <w:sz w:val="21"/>
        <w:szCs w:val="21"/>
      </w:rPr>
    </w:pPr>
    <w:r>
      <w:rPr>
        <w:rStyle w:val="35"/>
        <w:rFonts w:hint="eastAsia" w:ascii="华文细黑" w:hAnsi="华文细黑" w:eastAsia="华文细黑" w:cs="华文细黑"/>
        <w:sz w:val="21"/>
        <w:szCs w:val="21"/>
      </w:rPr>
      <w:t>四川外国语大学</w:t>
    </w:r>
    <w:r>
      <w:rPr>
        <w:rStyle w:val="35"/>
        <w:rFonts w:ascii="华文细黑" w:hAnsi="华文细黑" w:eastAsia="华文细黑" w:cs="华文细黑"/>
        <w:sz w:val="21"/>
        <w:szCs w:val="21"/>
      </w:rPr>
      <w:t xml:space="preserve">                                                     </w:t>
    </w:r>
    <w:r>
      <w:rPr>
        <w:rFonts w:hint="eastAsia" w:ascii="华文细黑" w:hAnsi="华文细黑" w:eastAsia="华文细黑" w:cs="华文细黑"/>
        <w:sz w:val="21"/>
        <w:szCs w:val="21"/>
      </w:rPr>
      <w:t>询价采购文件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华文细黑" w:hAnsi="华文细黑" w:eastAsia="华文细黑" w:cs="华文细黑"/>
        <w:sz w:val="21"/>
        <w:szCs w:val="21"/>
      </w:rPr>
    </w:pPr>
    <w:r>
      <w:rPr>
        <w:rStyle w:val="35"/>
        <w:rFonts w:hint="eastAsia" w:ascii="华文细黑" w:hAnsi="华文细黑" w:eastAsia="华文细黑" w:cs="华文细黑"/>
        <w:sz w:val="21"/>
        <w:szCs w:val="21"/>
      </w:rPr>
      <w:t>四川外国语大学</w:t>
    </w:r>
    <w:r>
      <w:rPr>
        <w:rFonts w:hint="eastAsia" w:ascii="华文细黑" w:hAnsi="华文细黑" w:eastAsia="华文细黑" w:cs="华文细黑"/>
        <w:sz w:val="21"/>
        <w:szCs w:val="21"/>
      </w:rPr>
      <w:t>　　　　　　　　　　                                      　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rFonts w:hint="eastAsia" w:cs="宋体"/>
        <w:sz w:val="21"/>
        <w:szCs w:val="21"/>
      </w:rPr>
      <w:t>　　　　　　　　　　　                          询价采购文件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rFonts w:hint="eastAsia" w:cs="宋体"/>
        <w:sz w:val="21"/>
        <w:szCs w:val="21"/>
      </w:rPr>
      <w:t>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rPr>
        <w:rFonts w:hint="default"/>
      </w:rPr>
    </w:lvl>
    <w:lvl w:ilvl="1" w:tentative="0">
      <w:start w:val="1"/>
      <w:numFmt w:val="lowerLetter"/>
      <w:pStyle w:val="4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singleLevel"/>
    <w:tmpl w:val="0000000A"/>
    <w:lvl w:ilvl="0" w:tentative="0">
      <w:start w:val="3"/>
      <w:numFmt w:val="decimal"/>
      <w:lvlText w:val="(%1)"/>
      <w:lvlJc w:val="left"/>
      <w:rPr>
        <w:rFonts w:hint="eastAsia" w:ascii="宋体" w:hAnsi="宋体" w:eastAsia="宋体"/>
      </w:rPr>
    </w:lvl>
  </w:abstractNum>
  <w:abstractNum w:abstractNumId="2">
    <w:nsid w:val="30F7307B"/>
    <w:multiLevelType w:val="multilevel"/>
    <w:tmpl w:val="30F7307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FEA3B95"/>
    <w:multiLevelType w:val="multilevel"/>
    <w:tmpl w:val="3FEA3B9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5A44D4"/>
    <w:multiLevelType w:val="multilevel"/>
    <w:tmpl w:val="725A44D4"/>
    <w:lvl w:ilvl="0" w:tentative="0">
      <w:start w:val="1"/>
      <w:numFmt w:val="decimal"/>
      <w:lvlText w:val="%1."/>
      <w:lvlJc w:val="left"/>
      <w:pPr>
        <w:tabs>
          <w:tab w:val="left" w:pos="840"/>
        </w:tabs>
        <w:ind w:left="840" w:hanging="420"/>
      </w:pPr>
    </w:lvl>
    <w:lvl w:ilvl="1" w:tentative="0">
      <w:start w:val="3"/>
      <w:numFmt w:val="decimal"/>
      <w:lvlText w:val="（%2）"/>
      <w:lvlJc w:val="left"/>
      <w:pPr>
        <w:tabs>
          <w:tab w:val="left" w:pos="1560"/>
        </w:tabs>
        <w:ind w:left="1560" w:hanging="720"/>
      </w:pPr>
      <w:rPr>
        <w:rFonts w:hint="default"/>
      </w:rPr>
    </w:lvl>
    <w:lvl w:ilvl="2" w:tentative="0">
      <w:start w:val="1"/>
      <w:numFmt w:val="japaneseCounting"/>
      <w:lvlText w:val="%3、"/>
      <w:lvlJc w:val="left"/>
      <w:pPr>
        <w:tabs>
          <w:tab w:val="left" w:pos="1980"/>
        </w:tabs>
        <w:ind w:left="1980" w:hanging="720"/>
      </w:pPr>
      <w:rPr>
        <w:rFonts w:hint="eastAsia"/>
      </w:rPr>
    </w:lvl>
    <w:lvl w:ilvl="3" w:tentative="0">
      <w:start w:val="1"/>
      <w:numFmt w:val="japaneseCounting"/>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B0978"/>
    <w:rsid w:val="000B38DF"/>
    <w:rsid w:val="000B5D6B"/>
    <w:rsid w:val="000B71C1"/>
    <w:rsid w:val="000C107C"/>
    <w:rsid w:val="000C118E"/>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A06EE"/>
    <w:rsid w:val="001A08FE"/>
    <w:rsid w:val="001A265E"/>
    <w:rsid w:val="001A62CF"/>
    <w:rsid w:val="001B081C"/>
    <w:rsid w:val="001B0B47"/>
    <w:rsid w:val="001B7BF3"/>
    <w:rsid w:val="001C24DC"/>
    <w:rsid w:val="001C5EDE"/>
    <w:rsid w:val="001C66F4"/>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A78"/>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844FB"/>
    <w:rsid w:val="00297BD0"/>
    <w:rsid w:val="002A0054"/>
    <w:rsid w:val="002A00A3"/>
    <w:rsid w:val="002A21E6"/>
    <w:rsid w:val="002A32A6"/>
    <w:rsid w:val="002C0F98"/>
    <w:rsid w:val="002C4419"/>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3C8A"/>
    <w:rsid w:val="003E420E"/>
    <w:rsid w:val="003E575B"/>
    <w:rsid w:val="003F16C7"/>
    <w:rsid w:val="003F7BDC"/>
    <w:rsid w:val="00400759"/>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4917"/>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683"/>
    <w:rsid w:val="005D181C"/>
    <w:rsid w:val="005D4726"/>
    <w:rsid w:val="005D597E"/>
    <w:rsid w:val="005E27E6"/>
    <w:rsid w:val="005E5775"/>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4F0"/>
    <w:rsid w:val="007167A1"/>
    <w:rsid w:val="007200F9"/>
    <w:rsid w:val="00723236"/>
    <w:rsid w:val="00724410"/>
    <w:rsid w:val="00727011"/>
    <w:rsid w:val="00727928"/>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8AF"/>
    <w:rsid w:val="008B13CC"/>
    <w:rsid w:val="008B1A8C"/>
    <w:rsid w:val="008B67BB"/>
    <w:rsid w:val="008C4DEB"/>
    <w:rsid w:val="008C52C1"/>
    <w:rsid w:val="008C5CE1"/>
    <w:rsid w:val="008D15AD"/>
    <w:rsid w:val="008E3291"/>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55B1"/>
    <w:rsid w:val="009E0BBD"/>
    <w:rsid w:val="009E5E6E"/>
    <w:rsid w:val="009F0D2F"/>
    <w:rsid w:val="009F13CA"/>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7909"/>
    <w:rsid w:val="00AA1435"/>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6267"/>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36D9"/>
    <w:rsid w:val="00B6549E"/>
    <w:rsid w:val="00B71031"/>
    <w:rsid w:val="00B77A32"/>
    <w:rsid w:val="00B834A5"/>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F0C63"/>
    <w:rsid w:val="00BF0CCF"/>
    <w:rsid w:val="00BF1110"/>
    <w:rsid w:val="00BF4CE1"/>
    <w:rsid w:val="00BF6707"/>
    <w:rsid w:val="00C07C4C"/>
    <w:rsid w:val="00C10722"/>
    <w:rsid w:val="00C11100"/>
    <w:rsid w:val="00C12699"/>
    <w:rsid w:val="00C14763"/>
    <w:rsid w:val="00C21FFC"/>
    <w:rsid w:val="00C232C9"/>
    <w:rsid w:val="00C24FE0"/>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C04E1"/>
    <w:rsid w:val="00DC420C"/>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5F96D3E"/>
    <w:rsid w:val="135424A9"/>
    <w:rsid w:val="287B123C"/>
    <w:rsid w:val="2A1A7149"/>
    <w:rsid w:val="2A5B54C1"/>
    <w:rsid w:val="2F2D7FE4"/>
    <w:rsid w:val="318307EF"/>
    <w:rsid w:val="356B36DE"/>
    <w:rsid w:val="4C705514"/>
    <w:rsid w:val="5D9F63DD"/>
    <w:rsid w:val="61D8499C"/>
    <w:rsid w:val="645650B9"/>
    <w:rsid w:val="64AE1B02"/>
    <w:rsid w:val="66C41DC6"/>
    <w:rsid w:val="773152AC"/>
    <w:rsid w:val="78CE5007"/>
    <w:rsid w:val="7F1E72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qFormat="1" w:unhideWhenUsed="0" w:uiPriority="99" w:name="toc 3"/>
    <w:lsdException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3" w:lineRule="auto"/>
      <w:outlineLvl w:val="1"/>
    </w:pPr>
    <w:rPr>
      <w:rFonts w:ascii="Cambria" w:hAnsi="Cambria" w:cs="Cambria"/>
      <w:b/>
      <w:bCs/>
      <w:kern w:val="0"/>
      <w:sz w:val="32"/>
      <w:szCs w:val="32"/>
    </w:rPr>
  </w:style>
  <w:style w:type="paragraph" w:styleId="4">
    <w:name w:val="heading 3"/>
    <w:basedOn w:val="1"/>
    <w:next w:val="1"/>
    <w:link w:val="33"/>
    <w:qFormat/>
    <w:uiPriority w:val="99"/>
    <w:pPr>
      <w:keepNext/>
      <w:keepLines/>
      <w:spacing w:before="260" w:after="260" w:line="413" w:lineRule="auto"/>
      <w:outlineLvl w:val="2"/>
    </w:pPr>
    <w:rPr>
      <w:b/>
      <w:bCs/>
      <w:kern w:val="0"/>
      <w:sz w:val="32"/>
      <w:szCs w:val="32"/>
    </w:rPr>
  </w:style>
  <w:style w:type="character" w:default="1" w:styleId="24">
    <w:name w:val="Default Paragraph Font"/>
    <w:unhideWhenUsed/>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semiHidden/>
    <w:qFormat/>
    <w:uiPriority w:val="99"/>
    <w:pPr>
      <w:ind w:left="1680"/>
      <w:jc w:val="left"/>
    </w:pPr>
    <w:rPr>
      <w:sz w:val="18"/>
      <w:szCs w:val="18"/>
    </w:rPr>
  </w:style>
  <w:style w:type="paragraph" w:styleId="6">
    <w:name w:val="Document Map"/>
    <w:basedOn w:val="1"/>
    <w:link w:val="49"/>
    <w:semiHidden/>
    <w:qFormat/>
    <w:uiPriority w:val="99"/>
    <w:rPr>
      <w:rFonts w:ascii="宋体" w:cs="宋体"/>
      <w:sz w:val="18"/>
      <w:szCs w:val="18"/>
    </w:rPr>
  </w:style>
  <w:style w:type="paragraph" w:styleId="7">
    <w:name w:val="annotation text"/>
    <w:basedOn w:val="1"/>
    <w:link w:val="40"/>
    <w:semiHidden/>
    <w:qFormat/>
    <w:uiPriority w:val="99"/>
    <w:pPr>
      <w:jc w:val="left"/>
    </w:pPr>
    <w:rPr>
      <w:kern w:val="0"/>
    </w:rPr>
  </w:style>
  <w:style w:type="paragraph" w:styleId="8">
    <w:name w:val="Body Text Indent"/>
    <w:basedOn w:val="1"/>
    <w:link w:val="38"/>
    <w:qFormat/>
    <w:uiPriority w:val="99"/>
    <w:pPr>
      <w:spacing w:line="700" w:lineRule="exact"/>
      <w:ind w:left="960"/>
    </w:pPr>
    <w:rPr>
      <w:kern w:val="0"/>
    </w:rPr>
  </w:style>
  <w:style w:type="paragraph" w:styleId="9">
    <w:name w:val="toc 5"/>
    <w:basedOn w:val="1"/>
    <w:next w:val="1"/>
    <w:semiHidden/>
    <w:qFormat/>
    <w:uiPriority w:val="99"/>
    <w:pPr>
      <w:ind w:left="1120"/>
      <w:jc w:val="left"/>
    </w:pPr>
    <w:rPr>
      <w:sz w:val="18"/>
      <w:szCs w:val="18"/>
    </w:rPr>
  </w:style>
  <w:style w:type="paragraph" w:styleId="10">
    <w:name w:val="toc 3"/>
    <w:basedOn w:val="1"/>
    <w:next w:val="1"/>
    <w:semiHidden/>
    <w:qFormat/>
    <w:uiPriority w:val="99"/>
    <w:pPr>
      <w:ind w:left="560"/>
      <w:jc w:val="left"/>
    </w:pPr>
    <w:rPr>
      <w:i/>
      <w:iCs/>
      <w:sz w:val="20"/>
      <w:szCs w:val="20"/>
    </w:rPr>
  </w:style>
  <w:style w:type="paragraph" w:styleId="11">
    <w:name w:val="Plain Text"/>
    <w:basedOn w:val="1"/>
    <w:link w:val="54"/>
    <w:qFormat/>
    <w:uiPriority w:val="99"/>
    <w:rPr>
      <w:rFonts w:ascii="宋体" w:hAnsi="Courier New" w:cs="宋体"/>
      <w:kern w:val="0"/>
      <w:sz w:val="21"/>
      <w:szCs w:val="21"/>
    </w:rPr>
  </w:style>
  <w:style w:type="paragraph" w:styleId="12">
    <w:name w:val="toc 8"/>
    <w:basedOn w:val="1"/>
    <w:next w:val="1"/>
    <w:semiHidden/>
    <w:qFormat/>
    <w:uiPriority w:val="99"/>
    <w:pPr>
      <w:ind w:left="1960"/>
      <w:jc w:val="left"/>
    </w:pPr>
    <w:rPr>
      <w:sz w:val="18"/>
      <w:szCs w:val="18"/>
    </w:rPr>
  </w:style>
  <w:style w:type="paragraph" w:styleId="13">
    <w:name w:val="Date"/>
    <w:basedOn w:val="1"/>
    <w:next w:val="1"/>
    <w:link w:val="39"/>
    <w:qFormat/>
    <w:uiPriority w:val="99"/>
    <w:rPr>
      <w:kern w:val="0"/>
    </w:rPr>
  </w:style>
  <w:style w:type="paragraph" w:styleId="14">
    <w:name w:val="Body Text Indent 2"/>
    <w:basedOn w:val="1"/>
    <w:link w:val="52"/>
    <w:qFormat/>
    <w:uiPriority w:val="99"/>
    <w:pPr>
      <w:spacing w:after="120" w:line="480" w:lineRule="auto"/>
      <w:ind w:left="420" w:leftChars="200"/>
    </w:pPr>
    <w:rPr>
      <w:kern w:val="0"/>
    </w:rPr>
  </w:style>
  <w:style w:type="paragraph" w:styleId="15">
    <w:name w:val="Balloon Text"/>
    <w:basedOn w:val="1"/>
    <w:link w:val="43"/>
    <w:semiHidden/>
    <w:qFormat/>
    <w:uiPriority w:val="99"/>
    <w:rPr>
      <w:kern w:val="0"/>
      <w:sz w:val="2"/>
      <w:szCs w:val="2"/>
    </w:rPr>
  </w:style>
  <w:style w:type="paragraph" w:styleId="16">
    <w:name w:val="footer"/>
    <w:basedOn w:val="1"/>
    <w:link w:val="42"/>
    <w:qFormat/>
    <w:uiPriority w:val="99"/>
    <w:pPr>
      <w:tabs>
        <w:tab w:val="center" w:pos="4153"/>
        <w:tab w:val="right" w:pos="8306"/>
      </w:tabs>
      <w:snapToGrid w:val="0"/>
      <w:jc w:val="left"/>
    </w:pPr>
    <w:rPr>
      <w:kern w:val="0"/>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semiHidden/>
    <w:uiPriority w:val="99"/>
    <w:pPr>
      <w:spacing w:before="120" w:after="120"/>
      <w:jc w:val="left"/>
    </w:pPr>
    <w:rPr>
      <w:b/>
      <w:bCs/>
      <w:caps/>
      <w:sz w:val="20"/>
      <w:szCs w:val="20"/>
    </w:rPr>
  </w:style>
  <w:style w:type="paragraph" w:styleId="19">
    <w:name w:val="toc 4"/>
    <w:basedOn w:val="1"/>
    <w:next w:val="1"/>
    <w:semiHidden/>
    <w:uiPriority w:val="99"/>
    <w:pPr>
      <w:ind w:left="840"/>
      <w:jc w:val="left"/>
    </w:pPr>
    <w:rPr>
      <w:sz w:val="18"/>
      <w:szCs w:val="18"/>
    </w:rPr>
  </w:style>
  <w:style w:type="paragraph" w:styleId="20">
    <w:name w:val="toc 6"/>
    <w:basedOn w:val="1"/>
    <w:next w:val="1"/>
    <w:semiHidden/>
    <w:qFormat/>
    <w:uiPriority w:val="99"/>
    <w:pPr>
      <w:ind w:left="1400"/>
      <w:jc w:val="left"/>
    </w:pPr>
    <w:rPr>
      <w:sz w:val="18"/>
      <w:szCs w:val="18"/>
    </w:rPr>
  </w:style>
  <w:style w:type="paragraph" w:styleId="21">
    <w:name w:val="toc 2"/>
    <w:basedOn w:val="1"/>
    <w:next w:val="1"/>
    <w:semiHidden/>
    <w:qFormat/>
    <w:uiPriority w:val="99"/>
    <w:pPr>
      <w:ind w:left="280"/>
      <w:jc w:val="left"/>
    </w:pPr>
    <w:rPr>
      <w:smallCaps/>
      <w:sz w:val="20"/>
      <w:szCs w:val="20"/>
    </w:rPr>
  </w:style>
  <w:style w:type="paragraph" w:styleId="22">
    <w:name w:val="toc 9"/>
    <w:basedOn w:val="1"/>
    <w:next w:val="1"/>
    <w:semiHidden/>
    <w:qFormat/>
    <w:uiPriority w:val="99"/>
    <w:pPr>
      <w:ind w:left="2240"/>
      <w:jc w:val="left"/>
    </w:pPr>
    <w:rPr>
      <w:sz w:val="18"/>
      <w:szCs w:val="18"/>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5">
    <w:name w:val="page number"/>
    <w:basedOn w:val="24"/>
    <w:qFormat/>
    <w:uiPriority w:val="99"/>
  </w:style>
  <w:style w:type="character" w:styleId="26">
    <w:name w:val="FollowedHyperlink"/>
    <w:qFormat/>
    <w:uiPriority w:val="99"/>
    <w:rPr>
      <w:color w:val="800080"/>
      <w:u w:val="single"/>
    </w:rPr>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table" w:styleId="30">
    <w:name w:val="Table Grid"/>
    <w:basedOn w:val="29"/>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标题 1 Char"/>
    <w:link w:val="2"/>
    <w:locked/>
    <w:uiPriority w:val="99"/>
    <w:rPr>
      <w:b/>
      <w:bCs/>
      <w:kern w:val="44"/>
      <w:sz w:val="44"/>
      <w:szCs w:val="44"/>
    </w:rPr>
  </w:style>
  <w:style w:type="character" w:customStyle="1" w:styleId="32">
    <w:name w:val="标题 2 Char"/>
    <w:link w:val="3"/>
    <w:semiHidden/>
    <w:qFormat/>
    <w:locked/>
    <w:uiPriority w:val="99"/>
    <w:rPr>
      <w:rFonts w:ascii="Cambria" w:hAnsi="Cambria" w:eastAsia="宋体" w:cs="Cambria"/>
      <w:b/>
      <w:bCs/>
      <w:sz w:val="32"/>
      <w:szCs w:val="32"/>
    </w:rPr>
  </w:style>
  <w:style w:type="character" w:customStyle="1" w:styleId="33">
    <w:name w:val="标题 3 Char"/>
    <w:link w:val="4"/>
    <w:semiHidden/>
    <w:qFormat/>
    <w:locked/>
    <w:uiPriority w:val="99"/>
    <w:rPr>
      <w:b/>
      <w:bCs/>
      <w:sz w:val="32"/>
      <w:szCs w:val="32"/>
    </w:rPr>
  </w:style>
  <w:style w:type="character" w:customStyle="1" w:styleId="34">
    <w:name w:val="ll1"/>
    <w:qFormat/>
    <w:uiPriority w:val="99"/>
    <w:rPr>
      <w:rFonts w:ascii="??" w:hAnsi="??" w:cs="??"/>
      <w:color w:val="auto"/>
      <w:sz w:val="18"/>
      <w:szCs w:val="18"/>
      <w:u w:val="none"/>
    </w:rPr>
  </w:style>
  <w:style w:type="character" w:customStyle="1" w:styleId="35">
    <w:name w:val="para1"/>
    <w:uiPriority w:val="99"/>
    <w:rPr>
      <w:rFonts w:ascii="Arial" w:hAnsi="Arial" w:cs="Arial"/>
      <w:sz w:val="18"/>
      <w:szCs w:val="18"/>
    </w:rPr>
  </w:style>
  <w:style w:type="character" w:customStyle="1" w:styleId="36">
    <w:name w:val="16"/>
    <w:uiPriority w:val="99"/>
    <w:rPr>
      <w:rFonts w:ascii="Times New Roman" w:hAnsi="Times New Roman" w:cs="Times New Roman"/>
      <w:color w:val="0000FF"/>
      <w:sz w:val="20"/>
      <w:szCs w:val="20"/>
      <w:u w:val="single"/>
    </w:rPr>
  </w:style>
  <w:style w:type="character" w:customStyle="1" w:styleId="37">
    <w:name w:val="页眉 Char"/>
    <w:link w:val="17"/>
    <w:semiHidden/>
    <w:qFormat/>
    <w:locked/>
    <w:uiPriority w:val="99"/>
    <w:rPr>
      <w:sz w:val="18"/>
      <w:szCs w:val="18"/>
    </w:rPr>
  </w:style>
  <w:style w:type="character" w:customStyle="1" w:styleId="38">
    <w:name w:val="正文文本缩进 Char"/>
    <w:link w:val="8"/>
    <w:semiHidden/>
    <w:locked/>
    <w:uiPriority w:val="99"/>
    <w:rPr>
      <w:sz w:val="28"/>
      <w:szCs w:val="28"/>
    </w:rPr>
  </w:style>
  <w:style w:type="character" w:customStyle="1" w:styleId="39">
    <w:name w:val="日期 Char"/>
    <w:link w:val="13"/>
    <w:semiHidden/>
    <w:locked/>
    <w:uiPriority w:val="99"/>
    <w:rPr>
      <w:sz w:val="28"/>
      <w:szCs w:val="28"/>
    </w:rPr>
  </w:style>
  <w:style w:type="character" w:customStyle="1" w:styleId="40">
    <w:name w:val="批注文字 Char"/>
    <w:link w:val="7"/>
    <w:semiHidden/>
    <w:qFormat/>
    <w:locked/>
    <w:uiPriority w:val="99"/>
    <w:rPr>
      <w:sz w:val="28"/>
      <w:szCs w:val="28"/>
    </w:rPr>
  </w:style>
  <w:style w:type="paragraph" w:customStyle="1" w:styleId="41">
    <w:name w:val="Char"/>
    <w:basedOn w:val="1"/>
    <w:uiPriority w:val="99"/>
    <w:pPr>
      <w:spacing w:line="240" w:lineRule="atLeast"/>
      <w:ind w:left="420" w:firstLine="420"/>
    </w:pPr>
    <w:rPr>
      <w:kern w:val="0"/>
      <w:sz w:val="21"/>
      <w:szCs w:val="21"/>
    </w:rPr>
  </w:style>
  <w:style w:type="character" w:customStyle="1" w:styleId="42">
    <w:name w:val="页脚 Char"/>
    <w:link w:val="16"/>
    <w:semiHidden/>
    <w:locked/>
    <w:uiPriority w:val="99"/>
    <w:rPr>
      <w:sz w:val="18"/>
      <w:szCs w:val="18"/>
    </w:rPr>
  </w:style>
  <w:style w:type="character" w:customStyle="1" w:styleId="43">
    <w:name w:val="批注框文本 Char"/>
    <w:link w:val="15"/>
    <w:semiHidden/>
    <w:locked/>
    <w:uiPriority w:val="99"/>
    <w:rPr>
      <w:sz w:val="2"/>
      <w:szCs w:val="2"/>
    </w:rPr>
  </w:style>
  <w:style w:type="paragraph" w:customStyle="1" w:styleId="44">
    <w:name w:val="p0"/>
    <w:basedOn w:val="1"/>
    <w:uiPriority w:val="99"/>
    <w:pPr>
      <w:widowControl/>
    </w:pPr>
    <w:rPr>
      <w:kern w:val="0"/>
      <w:sz w:val="21"/>
      <w:szCs w:val="21"/>
    </w:rPr>
  </w:style>
  <w:style w:type="paragraph" w:customStyle="1" w:styleId="45">
    <w:name w:val="标准正文"/>
    <w:basedOn w:val="1"/>
    <w:uiPriority w:val="99"/>
    <w:pPr>
      <w:spacing w:line="360" w:lineRule="auto"/>
      <w:ind w:left="840" w:leftChars="400" w:firstLine="480" w:firstLineChars="200"/>
    </w:pPr>
    <w:rPr>
      <w:sz w:val="24"/>
      <w:szCs w:val="24"/>
    </w:rPr>
  </w:style>
  <w:style w:type="paragraph" w:customStyle="1" w:styleId="46">
    <w:name w:val="Char Char Char Char"/>
    <w:basedOn w:val="1"/>
    <w:uiPriority w:val="99"/>
    <w:rPr>
      <w:sz w:val="21"/>
      <w:szCs w:val="21"/>
    </w:rPr>
  </w:style>
  <w:style w:type="paragraph" w:customStyle="1" w:styleId="47">
    <w:name w:val="标题二"/>
    <w:basedOn w:val="3"/>
    <w:uiPriority w:val="9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48">
    <w:name w:val="标题一"/>
    <w:basedOn w:val="2"/>
    <w:next w:val="2"/>
    <w:qFormat/>
    <w:uiPriority w:val="99"/>
    <w:pPr>
      <w:keepLines w:val="0"/>
      <w:spacing w:before="0" w:after="0" w:line="240" w:lineRule="auto"/>
      <w:jc w:val="left"/>
    </w:pPr>
    <w:rPr>
      <w:kern w:val="2"/>
      <w:sz w:val="28"/>
      <w:szCs w:val="28"/>
    </w:rPr>
  </w:style>
  <w:style w:type="character" w:customStyle="1" w:styleId="49">
    <w:name w:val="文档结构图 Char"/>
    <w:link w:val="6"/>
    <w:qFormat/>
    <w:locked/>
    <w:uiPriority w:val="99"/>
    <w:rPr>
      <w:rFonts w:ascii="宋体" w:cs="宋体"/>
      <w:kern w:val="2"/>
      <w:sz w:val="18"/>
      <w:szCs w:val="18"/>
    </w:rPr>
  </w:style>
  <w:style w:type="character" w:customStyle="1" w:styleId="50">
    <w:name w:val="title1"/>
    <w:qFormat/>
    <w:uiPriority w:val="99"/>
    <w:rPr>
      <w:sz w:val="18"/>
      <w:szCs w:val="18"/>
    </w:rPr>
  </w:style>
  <w:style w:type="paragraph" w:customStyle="1" w:styleId="51">
    <w:name w:val="列出段落1"/>
    <w:basedOn w:val="1"/>
    <w:qFormat/>
    <w:uiPriority w:val="99"/>
    <w:pPr>
      <w:ind w:firstLine="420" w:firstLineChars="200"/>
    </w:pPr>
    <w:rPr>
      <w:rFonts w:ascii="仿宋_GB2312" w:eastAsia="仿宋_GB2312" w:cs="仿宋_GB2312"/>
      <w:sz w:val="32"/>
      <w:szCs w:val="32"/>
    </w:rPr>
  </w:style>
  <w:style w:type="character" w:customStyle="1" w:styleId="52">
    <w:name w:val="正文文本缩进 2 Char"/>
    <w:link w:val="14"/>
    <w:semiHidden/>
    <w:qFormat/>
    <w:locked/>
    <w:uiPriority w:val="99"/>
    <w:rPr>
      <w:sz w:val="28"/>
      <w:szCs w:val="28"/>
    </w:rPr>
  </w:style>
  <w:style w:type="paragraph" w:customStyle="1" w:styleId="53">
    <w:name w:val="1"/>
    <w:basedOn w:val="1"/>
    <w:next w:val="11"/>
    <w:qFormat/>
    <w:uiPriority w:val="99"/>
    <w:rPr>
      <w:rFonts w:ascii="宋体" w:hAnsi="Courier New" w:cs="宋体"/>
      <w:sz w:val="21"/>
      <w:szCs w:val="21"/>
    </w:rPr>
  </w:style>
  <w:style w:type="character" w:customStyle="1" w:styleId="54">
    <w:name w:val="纯文本 Char"/>
    <w:link w:val="11"/>
    <w:semiHidden/>
    <w:locked/>
    <w:uiPriority w:val="99"/>
    <w:rPr>
      <w:rFonts w:ascii="宋体" w:hAnsi="Courier New" w:cs="宋体"/>
      <w:sz w:val="21"/>
      <w:szCs w:val="21"/>
    </w:rPr>
  </w:style>
  <w:style w:type="paragraph" w:customStyle="1" w:styleId="55">
    <w:name w:val="t-12"/>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56">
    <w:name w:val="apple-converted-space"/>
    <w:qFormat/>
    <w:uiPriority w:val="99"/>
  </w:style>
  <w:style w:type="paragraph" w:customStyle="1" w:styleId="5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1543</Words>
  <Characters>8801</Characters>
  <Lines>73</Lines>
  <Paragraphs>20</Paragraphs>
  <ScaleCrop>false</ScaleCrop>
  <LinksUpToDate>false</LinksUpToDate>
  <CharactersWithSpaces>10324</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2017-06-28T04:48:00Z</dcterms:created>
  <dc:creator>user</dc:creator>
  <cp:lastModifiedBy>Administrator</cp:lastModifiedBy>
  <cp:lastPrinted>2016-01-05T02:35:00Z</cp:lastPrinted>
  <dcterms:modified xsi:type="dcterms:W3CDTF">2017-07-03T08:00:23Z</dcterms:modified>
  <dc:title>询价采购文件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