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方正仿宋_GBK" w:hAnsi="宋体" w:eastAsia="方正仿宋_GBK"/>
          <w:b/>
          <w:bCs/>
          <w:color w:val="auto"/>
          <w:sz w:val="32"/>
          <w:szCs w:val="32"/>
          <w:highlight w:val="none"/>
          <w:lang w:eastAsia="zh-CN"/>
        </w:rPr>
      </w:pPr>
      <w:r>
        <w:rPr>
          <w:rFonts w:hint="eastAsia" w:ascii="方正仿宋_GBK" w:hAnsi="宋体" w:eastAsia="方正仿宋_GBK"/>
          <w:b/>
          <w:bCs/>
          <w:color w:val="auto"/>
          <w:sz w:val="32"/>
          <w:szCs w:val="32"/>
          <w:highlight w:val="none"/>
          <w:lang w:eastAsia="zh-CN"/>
        </w:rPr>
        <w:t>四川外国语大学游泳池监理单位服务采购（第二次）</w:t>
      </w:r>
    </w:p>
    <w:p>
      <w:pPr>
        <w:pStyle w:val="2"/>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3"/>
        <w:rPr>
          <w:rFonts w:hint="eastAsia" w:ascii="方正仿宋_GBK" w:hAnsi="宋体" w:eastAsia="方正仿宋_GBK" w:cs="Times New Roman"/>
          <w:b/>
          <w:bCs/>
          <w:color w:val="auto"/>
          <w:kern w:val="2"/>
          <w:sz w:val="32"/>
          <w:szCs w:val="32"/>
          <w:highlight w:val="none"/>
          <w:lang w:val="en-US" w:eastAsia="zh-CN" w:bidi="ar-SA"/>
        </w:rPr>
      </w:pPr>
      <w:r>
        <w:rPr>
          <w:rFonts w:hint="eastAsia" w:ascii="方正仿宋_GBK" w:hAnsi="宋体" w:eastAsia="方正仿宋_GBK" w:cs="Times New Roman"/>
          <w:b/>
          <w:bCs/>
          <w:color w:val="auto"/>
          <w:kern w:val="2"/>
          <w:sz w:val="32"/>
          <w:szCs w:val="32"/>
          <w:highlight w:val="none"/>
          <w:lang w:val="en-US" w:eastAsia="zh-CN" w:bidi="ar-SA"/>
        </w:rPr>
        <w:t>公  告</w:t>
      </w:r>
    </w:p>
    <w:p>
      <w:pPr>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重庆泓展建设工程咨询有限公司受四川外国语大学招投标采购办公室的委托，对</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eastAsia="zh-CN"/>
        </w:rPr>
        <w:t>四川外国语大学游泳池监理单位服务采购（第二次）</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进行竞争性磋商，欢迎有资格的供应商参加投标。</w:t>
      </w:r>
    </w:p>
    <w:p>
      <w:pPr>
        <w:pStyle w:val="4"/>
        <w:spacing w:line="500" w:lineRule="exact"/>
        <w:ind w:firstLine="480" w:firstLineChars="200"/>
        <w:rPr>
          <w:rFonts w:ascii="方正仿宋_GBK" w:eastAsia="方正仿宋_GBK"/>
          <w:b/>
          <w:color w:val="auto"/>
          <w:sz w:val="24"/>
          <w:highlight w:val="none"/>
        </w:rPr>
      </w:pPr>
      <w:bookmarkStart w:id="0" w:name="_Toc452024144"/>
      <w:r>
        <w:rPr>
          <w:rFonts w:hint="eastAsia" w:ascii="方正仿宋_GBK" w:eastAsia="方正仿宋_GBK"/>
          <w:b/>
          <w:color w:val="auto"/>
          <w:sz w:val="24"/>
          <w:highlight w:val="none"/>
        </w:rPr>
        <w:t>一、磋商项目内容</w:t>
      </w:r>
      <w:bookmarkEnd w:id="0"/>
    </w:p>
    <w:tbl>
      <w:tblPr>
        <w:tblStyle w:val="8"/>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90"/>
        <w:gridCol w:w="1803"/>
        <w:gridCol w:w="1381"/>
        <w:gridCol w:w="127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390"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1803"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监理服务费最高限价（万元）</w:t>
            </w:r>
          </w:p>
        </w:tc>
        <w:tc>
          <w:tcPr>
            <w:tcW w:w="1381"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投标保证金</w:t>
            </w:r>
          </w:p>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（万元）</w:t>
            </w:r>
          </w:p>
        </w:tc>
        <w:tc>
          <w:tcPr>
            <w:tcW w:w="1274"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成交供应商</w:t>
            </w:r>
          </w:p>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数量（名）</w:t>
            </w:r>
          </w:p>
        </w:tc>
        <w:tc>
          <w:tcPr>
            <w:tcW w:w="1604"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90" w:type="dxa"/>
            <w:vAlign w:val="center"/>
          </w:tcPr>
          <w:p>
            <w:pPr>
              <w:pStyle w:val="5"/>
              <w:keepNext w:val="0"/>
              <w:keepLines w:val="0"/>
              <w:pageBreakBefore w:val="0"/>
              <w:widowControl w:val="0"/>
              <w:kinsoku/>
              <w:wordWrap/>
              <w:overflowPunct/>
              <w:topLinePunct w:val="0"/>
              <w:autoSpaceDE/>
              <w:autoSpaceDN/>
              <w:bidi w:val="0"/>
              <w:spacing w:line="340" w:lineRule="exact"/>
              <w:ind w:firstLine="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2390"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ascii="方正仿宋_GBK" w:hAnsi="宋体" w:eastAsia="方正仿宋_GBK"/>
                <w:color w:val="auto"/>
                <w:sz w:val="21"/>
                <w:szCs w:val="21"/>
                <w:highlight w:val="none"/>
              </w:rPr>
            </w:pPr>
            <w:r>
              <w:rPr>
                <w:rFonts w:hint="eastAsia" w:ascii="方正仿宋_GBK" w:hAnsi="宋体" w:eastAsia="方正仿宋_GBK" w:cs="Times New Roman"/>
                <w:b/>
                <w:color w:val="auto"/>
                <w:kern w:val="2"/>
                <w:sz w:val="21"/>
                <w:szCs w:val="21"/>
                <w:highlight w:val="none"/>
                <w:lang w:val="en-US" w:eastAsia="zh-CN" w:bidi="ar-SA"/>
              </w:rPr>
              <w:t>四川外国语大学游泳池监理单位服务采购（第二次）</w:t>
            </w:r>
          </w:p>
        </w:tc>
        <w:tc>
          <w:tcPr>
            <w:tcW w:w="1803"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35</w:t>
            </w:r>
          </w:p>
        </w:tc>
        <w:tc>
          <w:tcPr>
            <w:tcW w:w="1381" w:type="dxa"/>
            <w:vAlign w:val="center"/>
          </w:tcPr>
          <w:p>
            <w:pPr>
              <w:pStyle w:val="6"/>
              <w:keepNext w:val="0"/>
              <w:keepLines w:val="0"/>
              <w:pageBreakBefore w:val="0"/>
              <w:widowControl w:val="0"/>
              <w:kinsoku/>
              <w:wordWrap/>
              <w:overflowPunct/>
              <w:topLinePunct w:val="0"/>
              <w:autoSpaceDE/>
              <w:autoSpaceDN/>
              <w:bidi w:val="0"/>
              <w:spacing w:line="340" w:lineRule="exact"/>
              <w:ind w:left="0"/>
              <w:jc w:val="center"/>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0.35</w:t>
            </w:r>
          </w:p>
        </w:tc>
        <w:tc>
          <w:tcPr>
            <w:tcW w:w="1274" w:type="dxa"/>
            <w:vAlign w:val="center"/>
          </w:tcPr>
          <w:p>
            <w:pPr>
              <w:pStyle w:val="5"/>
              <w:keepNext w:val="0"/>
              <w:keepLines w:val="0"/>
              <w:pageBreakBefore w:val="0"/>
              <w:widowControl w:val="0"/>
              <w:kinsoku/>
              <w:wordWrap/>
              <w:overflowPunct/>
              <w:topLinePunct w:val="0"/>
              <w:autoSpaceDE/>
              <w:autoSpaceDN/>
              <w:bidi w:val="0"/>
              <w:spacing w:line="340" w:lineRule="exact"/>
              <w:ind w:firstLine="0"/>
              <w:jc w:val="center"/>
              <w:textAlignment w:val="auto"/>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604" w:type="dxa"/>
          </w:tcPr>
          <w:p>
            <w:pPr>
              <w:pStyle w:val="5"/>
              <w:keepNext w:val="0"/>
              <w:keepLines w:val="0"/>
              <w:pageBreakBefore w:val="0"/>
              <w:widowControl w:val="0"/>
              <w:kinsoku/>
              <w:wordWrap/>
              <w:overflowPunct/>
              <w:topLinePunct w:val="0"/>
              <w:autoSpaceDE/>
              <w:autoSpaceDN/>
              <w:bidi w:val="0"/>
              <w:spacing w:line="340" w:lineRule="exact"/>
              <w:ind w:firstLine="0"/>
              <w:textAlignment w:val="auto"/>
              <w:outlineLvl w:val="0"/>
              <w:rPr>
                <w:rFonts w:ascii="方正仿宋_GBK" w:hAnsi="宋体" w:eastAsia="方正仿宋_GBK"/>
                <w:color w:val="auto"/>
                <w:sz w:val="21"/>
                <w:szCs w:val="21"/>
                <w:highlight w:val="none"/>
              </w:rPr>
            </w:pPr>
          </w:p>
        </w:tc>
      </w:tr>
    </w:tbl>
    <w:p>
      <w:pPr>
        <w:pStyle w:val="4"/>
        <w:spacing w:line="500" w:lineRule="exact"/>
        <w:ind w:firstLine="480" w:firstLineChars="200"/>
        <w:rPr>
          <w:rFonts w:ascii="方正仿宋_GBK" w:eastAsia="方正仿宋_GBK"/>
          <w:b/>
          <w:color w:val="auto"/>
          <w:sz w:val="24"/>
          <w:highlight w:val="none"/>
        </w:rPr>
      </w:pPr>
      <w:bookmarkStart w:id="1" w:name="_Toc452024145"/>
      <w:r>
        <w:rPr>
          <w:rFonts w:hint="eastAsia" w:ascii="方正仿宋_GBK" w:eastAsia="方正仿宋_GBK"/>
          <w:b/>
          <w:color w:val="auto"/>
          <w:sz w:val="24"/>
          <w:highlight w:val="none"/>
        </w:rPr>
        <w:t>二、资金来源</w:t>
      </w:r>
      <w:bookmarkEnd w:id="1"/>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本项目的资金来自于公用设施改造修缮费。</w:t>
      </w:r>
    </w:p>
    <w:p>
      <w:pPr>
        <w:pStyle w:val="4"/>
        <w:spacing w:line="500" w:lineRule="exact"/>
        <w:ind w:firstLine="480" w:firstLineChars="200"/>
        <w:rPr>
          <w:rFonts w:ascii="方正仿宋_GBK" w:eastAsia="方正仿宋_GBK"/>
          <w:b/>
          <w:color w:val="auto"/>
          <w:sz w:val="24"/>
          <w:highlight w:val="none"/>
        </w:rPr>
      </w:pPr>
      <w:bookmarkStart w:id="2" w:name="_Toc452024146"/>
      <w:r>
        <w:rPr>
          <w:rFonts w:hint="eastAsia" w:ascii="方正仿宋_GBK" w:eastAsia="方正仿宋_GBK"/>
          <w:b/>
          <w:color w:val="auto"/>
          <w:sz w:val="24"/>
          <w:highlight w:val="none"/>
        </w:rPr>
        <w:t>三、供应商的资格要求</w:t>
      </w:r>
      <w:bookmarkEnd w:id="2"/>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加本次磋商的供应商是指向采购人提供货物、工程或者服务的法人、其他组织或者自然人。以下简称供应商。合格供应商应首先符合政府采购法第二十二条规定的基本条件，同时符合根据该项目特点设置的特定资格条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（一）基本资格条件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pPr>
        <w:spacing w:line="400" w:lineRule="exact"/>
        <w:ind w:firstLine="480" w:firstLineChars="200"/>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注：一般资格条件须提供的证明材料详见本竞争性磋商文件第七章。</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（二）特定资格条件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1、供应商须具备</w:t>
      </w:r>
      <w:r>
        <w:rPr>
          <w:rFonts w:hint="eastAsia" w:ascii="方正仿宋_GBK" w:hAnsi="宋体" w:eastAsia="方正仿宋_GBK"/>
          <w:color w:val="auto"/>
          <w:sz w:val="24"/>
          <w:szCs w:val="24"/>
          <w:highlight w:val="none"/>
          <w:u w:val="single"/>
        </w:rPr>
        <w:t>工程监理综合资质</w:t>
      </w:r>
      <w:r>
        <w:rPr>
          <w:rFonts w:hint="eastAsia" w:ascii="方正仿宋_GBK" w:hAnsi="宋体" w:eastAsia="方正仿宋_GBK"/>
          <w:color w:val="auto"/>
          <w:sz w:val="24"/>
          <w:szCs w:val="24"/>
          <w:highlight w:val="none"/>
          <w:u w:val="single"/>
          <w:lang w:eastAsia="zh-CN"/>
        </w:rPr>
        <w:t>或</w:t>
      </w:r>
      <w:r>
        <w:rPr>
          <w:rFonts w:hint="eastAsia" w:ascii="方正仿宋_GBK" w:hAnsi="宋体" w:eastAsia="方正仿宋_GBK"/>
          <w:color w:val="auto"/>
          <w:sz w:val="24"/>
          <w:szCs w:val="24"/>
          <w:highlight w:val="none"/>
          <w:u w:val="single"/>
        </w:rPr>
        <w:t>房屋建筑工程专业丙级及以上监理资质</w:t>
      </w:r>
      <w:r>
        <w:rPr>
          <w:rFonts w:hint="eastAsia" w:ascii="方正仿宋_GBK" w:hAnsi="宋体" w:eastAsia="方正仿宋_GBK"/>
          <w:color w:val="auto"/>
          <w:sz w:val="24"/>
          <w:szCs w:val="24"/>
          <w:highlight w:val="none"/>
        </w:rPr>
        <w:t>。</w:t>
      </w:r>
      <w:r>
        <w:rPr>
          <w:rFonts w:hint="eastAsia" w:ascii="方正仿宋_GBK" w:hAnsi="宋体" w:eastAsia="方正仿宋_GBK"/>
          <w:b/>
          <w:bCs/>
          <w:color w:val="auto"/>
          <w:sz w:val="24"/>
          <w:szCs w:val="24"/>
          <w:highlight w:val="none"/>
        </w:rPr>
        <w:t>（供应商须提供有效的资质证书副本复印件并加盖供应商单位公章）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为重庆市市外监理企业的，根据重庆市市外监理企业按照渝建发【2016】36号文规定，2016年5月1日起，重庆市外监理企业在投标前必须纳入市城乡建委“市外工程监理企业入渝信息库”。市外监理企业的原分支机构入渝登记备案证在有效期内的，提供重庆市市外工程监理企业入渝登记备案证及在渝分支机构登记备案的人员名单复印件加盖供应商单位公章（拟派本项目人员须是已备案人员）；市外监理企业的原分支机构入渝登记备案证失效的或新入渝的市外监理企业提供本单位以及项目所配备的监理从业人员已纳入重庆市城乡建委“市外工程监理企业入渝信息库”且在入渝信息有效期内的截图（在住房和城乡建设部“全国建筑市场监管与诚信信息发布平台”上查询的）文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特别说明：不具有法人身份的分公司不能参加本次采购活动。</w:t>
      </w:r>
    </w:p>
    <w:p>
      <w:pPr>
        <w:pStyle w:val="4"/>
        <w:numPr>
          <w:ilvl w:val="0"/>
          <w:numId w:val="1"/>
        </w:numPr>
        <w:spacing w:line="500" w:lineRule="exact"/>
        <w:ind w:firstLine="480" w:firstLineChars="200"/>
        <w:rPr>
          <w:rFonts w:ascii="方正仿宋_GBK" w:eastAsia="方正仿宋_GBK"/>
          <w:b/>
          <w:color w:val="auto"/>
          <w:sz w:val="24"/>
          <w:highlight w:val="none"/>
        </w:rPr>
      </w:pPr>
      <w:bookmarkStart w:id="3" w:name="_Toc452024147"/>
      <w:r>
        <w:rPr>
          <w:rFonts w:hint="eastAsia" w:ascii="方正仿宋_GBK" w:eastAsia="方正仿宋_GBK"/>
          <w:b/>
          <w:color w:val="auto"/>
          <w:sz w:val="24"/>
          <w:highlight w:val="none"/>
        </w:rPr>
        <w:t>磋商有关说明</w:t>
      </w:r>
      <w:bookmarkEnd w:id="3"/>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（一）凡有意参加磋商者，请于2018年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11</w:t>
      </w:r>
      <w:r>
        <w:rPr>
          <w:rFonts w:hint="eastAsia" w:ascii="方正仿宋_GBK" w:hAnsi="宋体" w:eastAsia="方正仿宋_GBK"/>
          <w:color w:val="auto"/>
          <w:sz w:val="24"/>
          <w:szCs w:val="24"/>
          <w:highlight w:val="none"/>
        </w:rPr>
        <w:t>日起，在“四川外国语大学（www.sisu.edu.cn）网”下载本工程的竞争性磋商文件、答疑、补遗等所有磋商相关资料。不论供应商下载与否，都视为供应商收到以上资料并全部知晓有关磋商过程和事宜，由此产生的一切后果由供应商自负。</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（二）竞争性磋商文件售价为：500元/套，在递交响应文件时一次性缴纳给采购代理机构，售后不退。</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（三）供应商须满足以下三个要件，其响应文件才被接受：</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1、按时递交了响应文件；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2、按时报名签到；</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3、缴纳了竞争性磋商文件购买费。</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（四）磋商地点：四川外国语大学招投标会议室(资产楼三楼)。</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（五）递交响应文件时间：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分（北京时间，下同）至</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分，递交响应文件截止时间：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（六）磋商采购开始时间： </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18</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14</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w:t>
      </w:r>
    </w:p>
    <w:p>
      <w:pPr>
        <w:spacing w:line="400" w:lineRule="exact"/>
        <w:ind w:firstLine="480" w:firstLineChars="200"/>
        <w:rPr>
          <w:color w:val="auto"/>
          <w:highlight w:val="none"/>
        </w:rPr>
      </w:pPr>
      <w:r>
        <w:rPr>
          <w:rFonts w:hint="eastAsia" w:ascii="方正仿宋_GBK" w:hAnsi="宋体" w:eastAsia="方正仿宋_GBK"/>
          <w:color w:val="auto"/>
          <w:sz w:val="24"/>
          <w:szCs w:val="24"/>
          <w:highlight w:val="none"/>
        </w:rPr>
        <w:t>（七）磋商采购地点：同磋商地点。</w:t>
      </w:r>
    </w:p>
    <w:p>
      <w:pPr>
        <w:pStyle w:val="4"/>
        <w:spacing w:line="500" w:lineRule="exact"/>
        <w:ind w:firstLine="480" w:firstLineChars="200"/>
        <w:rPr>
          <w:rFonts w:ascii="方正仿宋_GBK" w:eastAsia="方正仿宋_GBK"/>
          <w:b/>
          <w:color w:val="auto"/>
          <w:sz w:val="24"/>
          <w:highlight w:val="none"/>
        </w:rPr>
      </w:pPr>
      <w:bookmarkStart w:id="4" w:name="_Toc452024148"/>
      <w:r>
        <w:rPr>
          <w:rFonts w:hint="eastAsia" w:ascii="方正仿宋_GBK" w:eastAsia="方正仿宋_GBK"/>
          <w:b/>
          <w:color w:val="auto"/>
          <w:sz w:val="24"/>
          <w:highlight w:val="none"/>
        </w:rPr>
        <w:t>五、保证金</w:t>
      </w:r>
      <w:bookmarkEnd w:id="4"/>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（一）投标保证金递交</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投标保证金的缴纳方式：供应商须按本项目规定的投标保证金金额进行缴纳（投标保证金金额详见本篇中“一、磋商项目内容”），由供应商从其基本账户将投标保证金汇至以下账户，投标保证金的到账截止时间为</w:t>
      </w:r>
      <w:r>
        <w:rPr>
          <w:rFonts w:hint="eastAsia" w:ascii="方正仿宋_GBK" w:hAnsi="宋体" w:eastAsia="方正仿宋_GBK"/>
          <w:color w:val="auto"/>
          <w:sz w:val="24"/>
          <w:szCs w:val="24"/>
          <w:highlight w:val="none"/>
          <w:lang w:val="en-US" w:eastAsia="zh-CN"/>
        </w:rPr>
        <w:t>本次（第二次）磋商公告发布之日起至</w:t>
      </w:r>
      <w:r>
        <w:rPr>
          <w:rFonts w:hint="eastAsia" w:ascii="方正仿宋_GBK" w:hAnsi="宋体" w:eastAsia="方正仿宋_GBK"/>
          <w:color w:val="auto"/>
          <w:sz w:val="24"/>
          <w:szCs w:val="24"/>
          <w:highlight w:val="none"/>
        </w:rPr>
        <w:t>递交响应文件截止时间前一天9:00</w:t>
      </w:r>
      <w:r>
        <w:rPr>
          <w:rFonts w:hint="eastAsia" w:ascii="方正仿宋_GBK" w:hAnsi="宋体" w:eastAsia="方正仿宋_GBK"/>
          <w:color w:val="auto"/>
          <w:sz w:val="24"/>
          <w:szCs w:val="24"/>
          <w:highlight w:val="none"/>
          <w:lang w:eastAsia="zh-CN"/>
        </w:rPr>
        <w:t>止</w:t>
      </w:r>
      <w:r>
        <w:rPr>
          <w:rFonts w:hint="eastAsia" w:ascii="方正仿宋_GBK" w:hAnsi="宋体" w:eastAsia="方正仿宋_GBK"/>
          <w:color w:val="auto"/>
          <w:sz w:val="24"/>
          <w:szCs w:val="24"/>
          <w:highlight w:val="none"/>
        </w:rPr>
        <w:t>。供应商必须在付款凭证备注栏中注明是“</w:t>
      </w:r>
      <w:r>
        <w:rPr>
          <w:rFonts w:hint="eastAsia" w:ascii="方正仿宋_GBK" w:hAnsi="宋体" w:eastAsia="方正仿宋_GBK"/>
          <w:color w:val="auto"/>
          <w:sz w:val="24"/>
          <w:szCs w:val="24"/>
          <w:highlight w:val="none"/>
          <w:u w:val="single"/>
          <w:lang w:eastAsia="zh-CN"/>
        </w:rPr>
        <w:t>四川外国语大学游泳池监理单位服务采购（第二次）</w:t>
      </w:r>
      <w:r>
        <w:rPr>
          <w:rFonts w:hint="eastAsia" w:ascii="方正仿宋_GBK" w:hAnsi="宋体" w:eastAsia="方正仿宋_GBK"/>
          <w:color w:val="auto"/>
          <w:sz w:val="24"/>
          <w:szCs w:val="24"/>
          <w:highlight w:val="none"/>
          <w:u w:val="single"/>
        </w:rPr>
        <w:t>投标保证金</w:t>
      </w:r>
      <w:r>
        <w:rPr>
          <w:rFonts w:hint="eastAsia" w:ascii="方正仿宋_GBK" w:hAnsi="宋体" w:eastAsia="方正仿宋_GBK"/>
          <w:color w:val="auto"/>
          <w:sz w:val="24"/>
          <w:szCs w:val="24"/>
          <w:highlight w:val="none"/>
        </w:rPr>
        <w:t>”（可简写）。</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投标保证金账户：</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户名：四川外国语大学</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开户行：工行重庆分行童家桥支行</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帐号：3100024609026402214</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行号：102653001161</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组织机构代码：45040170-9</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纳税人识别号：125000004504017097</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1）各供应商在银行转账（电汇）时，须充分考虑银行转账（电汇）的时间差风险，如同城转账、异地转账或汇款、跨行转账或电汇的时间要求。</w:t>
      </w:r>
    </w:p>
    <w:p>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2）各供应商在递交投标保证金时，到款账户为上述指定的投标保证金专用账户，来款账户必须为供应商的基本账户。</w:t>
      </w:r>
    </w:p>
    <w:p>
      <w:pPr>
        <w:spacing w:line="400" w:lineRule="exact"/>
        <w:ind w:firstLine="480" w:firstLineChars="200"/>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注：未按上述要求递交投标保证金的应当场退还其响应文件。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投标保证金退还方式</w:t>
      </w:r>
      <w:bookmarkStart w:id="5" w:name="_Toc287534098"/>
      <w:bookmarkEnd w:id="5"/>
      <w:bookmarkStart w:id="6" w:name="_Toc333870120"/>
      <w:bookmarkEnd w:id="6"/>
      <w:r>
        <w:rPr>
          <w:rFonts w:hint="eastAsia" w:ascii="方正仿宋_GBK" w:hAnsi="宋体" w:eastAsia="方正仿宋_GBK"/>
          <w:color w:val="auto"/>
          <w:sz w:val="24"/>
          <w:szCs w:val="24"/>
          <w:highlight w:val="none"/>
        </w:rPr>
        <w:t>：</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（1）未成交的供应商的投标保证金，在成交通知书发放后，由采购人在五个工作日内，按来款渠道直接无息退还。</w:t>
      </w:r>
    </w:p>
    <w:p>
      <w:pPr>
        <w:spacing w:line="400" w:lineRule="exact"/>
        <w:ind w:firstLine="480" w:firstLineChars="200"/>
        <w:rPr>
          <w:color w:val="auto"/>
          <w:sz w:val="24"/>
          <w:szCs w:val="24"/>
          <w:highlight w:val="none"/>
        </w:rPr>
      </w:pPr>
      <w:r>
        <w:rPr>
          <w:rFonts w:hint="eastAsia" w:ascii="方正仿宋_GBK" w:hAnsi="宋体" w:eastAsia="方正仿宋_GBK"/>
          <w:color w:val="auto"/>
          <w:sz w:val="24"/>
          <w:szCs w:val="24"/>
          <w:highlight w:val="none"/>
        </w:rPr>
        <w:t>（2）成交供应商的投标保证金，在成交供应商与采购人签订合同后，由采购人在五个工作日内，按资金来款渠道直接无息退还。</w:t>
      </w:r>
    </w:p>
    <w:p>
      <w:pPr>
        <w:pStyle w:val="4"/>
        <w:spacing w:line="500" w:lineRule="exact"/>
        <w:ind w:firstLine="480" w:firstLineChars="200"/>
        <w:rPr>
          <w:rFonts w:ascii="方正仿宋_GBK" w:eastAsia="方正仿宋_GBK"/>
          <w:b/>
          <w:color w:val="auto"/>
          <w:sz w:val="24"/>
          <w:szCs w:val="22"/>
          <w:highlight w:val="none"/>
        </w:rPr>
      </w:pPr>
      <w:bookmarkStart w:id="7" w:name="_Toc452024149"/>
      <w:r>
        <w:rPr>
          <w:rFonts w:hint="eastAsia" w:ascii="方正仿宋_GBK" w:eastAsia="方正仿宋_GBK"/>
          <w:b/>
          <w:color w:val="auto"/>
          <w:sz w:val="24"/>
          <w:szCs w:val="22"/>
          <w:highlight w:val="none"/>
        </w:rPr>
        <w:t>六、磋商有关规定</w:t>
      </w:r>
      <w:bookmarkEnd w:id="7"/>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，否则均为无效响应</w:t>
      </w:r>
      <w:r>
        <w:rPr>
          <w:rFonts w:ascii="方正仿宋_GBK" w:hAnsi="宋体" w:eastAsia="方正仿宋_GBK"/>
          <w:color w:val="auto"/>
          <w:sz w:val="24"/>
          <w:szCs w:val="24"/>
          <w:highlight w:val="none"/>
        </w:rPr>
        <w:t>。</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ascii="方正仿宋_GBK" w:hAnsi="宋体" w:eastAsia="方正仿宋_GBK"/>
          <w:color w:val="auto"/>
          <w:sz w:val="24"/>
          <w:szCs w:val="24"/>
          <w:highlight w:val="none"/>
        </w:rPr>
        <w:t>为采购项目提供整体设计、规范编制或者项目管理、监理、检测等服务的供应商，不得再参加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的货物，制造商参与投标的，不得再委托代理商参与投标。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（五）本项目的补遗文件（如果有）一律在四川外国语大学（www.sisu.edu.cn）上发布，请各供应商注意下载；无论供应商下载与否，均视同供应商已知晓本项目补遗文件的内容。</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（六）超过磋商截止时间递交的响应文件，恕不接收。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（七）磋商费用：</w:t>
      </w:r>
      <w:r>
        <w:rPr>
          <w:rFonts w:hint="eastAsia" w:ascii="方正仿宋_GBK" w:eastAsia="方正仿宋_GBK"/>
          <w:color w:val="auto"/>
          <w:sz w:val="24"/>
          <w:szCs w:val="24"/>
          <w:highlight w:val="none"/>
        </w:rPr>
        <w:t>无论投标结果如何，供应商参与本项目投标的所有费用均应由供应商自行承担。</w:t>
      </w:r>
    </w:p>
    <w:p>
      <w:pPr>
        <w:pStyle w:val="4"/>
        <w:spacing w:line="500" w:lineRule="exact"/>
        <w:ind w:firstLine="480" w:firstLineChars="200"/>
        <w:rPr>
          <w:rFonts w:ascii="方正仿宋_GBK" w:eastAsia="方正仿宋_GBK"/>
          <w:b/>
          <w:color w:val="auto"/>
          <w:sz w:val="24"/>
          <w:highlight w:val="none"/>
        </w:rPr>
      </w:pPr>
      <w:bookmarkStart w:id="8" w:name="_Toc452024150"/>
      <w:r>
        <w:rPr>
          <w:rFonts w:hint="eastAsia" w:ascii="方正仿宋_GBK" w:eastAsia="方正仿宋_GBK"/>
          <w:b/>
          <w:color w:val="auto"/>
          <w:sz w:val="24"/>
          <w:highlight w:val="none"/>
        </w:rPr>
        <w:t>七、联系方式</w:t>
      </w:r>
      <w:bookmarkEnd w:id="8"/>
    </w:p>
    <w:tbl>
      <w:tblPr>
        <w:tblStyle w:val="8"/>
        <w:tblW w:w="9840" w:type="dxa"/>
        <w:tblInd w:w="-125" w:type="dxa"/>
        <w:tblLayout w:type="fixed"/>
        <w:tblCellMar>
          <w:top w:w="0" w:type="dxa"/>
          <w:left w:w="108" w:type="dxa"/>
          <w:bottom w:w="0" w:type="dxa"/>
          <w:right w:w="108" w:type="dxa"/>
        </w:tblCellMar>
      </w:tblPr>
      <w:tblGrid>
        <w:gridCol w:w="4665"/>
        <w:gridCol w:w="5175"/>
      </w:tblGrid>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采购人：四川外国语大学招投标采购办公室</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采购代理机构：重庆泓展建设工程咨询有限公司</w:t>
            </w:r>
          </w:p>
        </w:tc>
      </w:tr>
      <w:tr>
        <w:tblPrEx>
          <w:tblLayout w:type="fixed"/>
          <w:tblCellMar>
            <w:top w:w="0" w:type="dxa"/>
            <w:left w:w="108" w:type="dxa"/>
            <w:bottom w:w="0" w:type="dxa"/>
            <w:right w:w="108" w:type="dxa"/>
          </w:tblCellMar>
        </w:tblPrEx>
        <w:trPr>
          <w:trHeight w:val="51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地址：重庆市沙坪坝区壮志路33号 </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址：重庆市渝北区东湖南路333号中渝爱都会国际中心2幢25楼</w:t>
            </w:r>
          </w:p>
        </w:tc>
      </w:tr>
      <w:tr>
        <w:tblPrEx>
          <w:tblLayout w:type="fixed"/>
          <w:tblCellMar>
            <w:top w:w="0" w:type="dxa"/>
            <w:left w:w="108" w:type="dxa"/>
            <w:bottom w:w="0" w:type="dxa"/>
            <w:right w:w="108" w:type="dxa"/>
          </w:tblCellMar>
        </w:tblPrEx>
        <w:trPr>
          <w:trHeight w:val="33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联系人：吕老师</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联系人：何老师</w:t>
            </w:r>
          </w:p>
        </w:tc>
      </w:tr>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联系电话：023-65385008</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话：023-63082043</w:t>
            </w:r>
          </w:p>
        </w:tc>
      </w:tr>
      <w:tr>
        <w:tblPrEx>
          <w:tblLayout w:type="fixed"/>
          <w:tblCellMar>
            <w:top w:w="0" w:type="dxa"/>
            <w:left w:w="108" w:type="dxa"/>
            <w:bottom w:w="0" w:type="dxa"/>
            <w:right w:w="108" w:type="dxa"/>
          </w:tblCellMar>
        </w:tblPrEx>
        <w:trPr>
          <w:trHeight w:val="8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传真：/</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  真：023-67631766</w:t>
            </w:r>
          </w:p>
        </w:tc>
      </w:tr>
    </w:tbl>
    <w:p>
      <w:pPr>
        <w:pStyle w:val="3"/>
        <w:spacing w:beforeLines="0" w:afterLines="0" w:line="360" w:lineRule="auto"/>
        <w:jc w:val="right"/>
        <w:rPr>
          <w:rFonts w:hint="eastAsia" w:ascii="方正仿宋_GBK" w:hAnsi="Times New Roman" w:eastAsia="方正仿宋_GBK" w:cs="Times New Roman"/>
          <w:color w:val="auto"/>
          <w:kern w:val="2"/>
          <w:sz w:val="24"/>
          <w:szCs w:val="24"/>
          <w:highlight w:val="none"/>
          <w:lang w:val="en-US" w:eastAsia="zh-CN" w:bidi="ar-SA"/>
        </w:rPr>
      </w:pPr>
    </w:p>
    <w:p>
      <w:pPr>
        <w:pageBreakBefore w:val="0"/>
        <w:widowControl w:val="0"/>
        <w:kinsoku/>
        <w:wordWrap/>
        <w:overflowPunct/>
        <w:topLinePunct w:val="0"/>
        <w:autoSpaceDE/>
        <w:autoSpaceDN/>
        <w:bidi w:val="0"/>
        <w:spacing w:line="420" w:lineRule="exact"/>
        <w:jc w:val="right"/>
        <w:textAlignment w:val="auto"/>
        <w:rPr>
          <w:color w:val="auto"/>
        </w:rPr>
      </w:pPr>
      <w:r>
        <w:rPr>
          <w:rFonts w:hint="eastAsia" w:ascii="方正仿宋_GBK" w:hAnsi="Times New Roman" w:eastAsia="方正仿宋_GBK" w:cs="Times New Roman"/>
          <w:color w:val="auto"/>
          <w:kern w:val="2"/>
          <w:sz w:val="24"/>
          <w:szCs w:val="24"/>
          <w:highlight w:val="none"/>
          <w:lang w:val="en-US" w:eastAsia="zh-CN" w:bidi="ar-SA"/>
        </w:rPr>
        <w:t>2018年</w:t>
      </w:r>
      <w:r>
        <w:rPr>
          <w:rFonts w:hint="eastAsia" w:ascii="方正仿宋_GBK" w:eastAsia="方正仿宋_GBK" w:cs="Times New Roman"/>
          <w:color w:val="auto"/>
          <w:kern w:val="2"/>
          <w:sz w:val="24"/>
          <w:szCs w:val="24"/>
          <w:highlight w:val="none"/>
          <w:u w:val="single"/>
          <w:lang w:val="en-US" w:eastAsia="zh-CN" w:bidi="ar-SA"/>
        </w:rPr>
        <w:t>7</w:t>
      </w:r>
      <w:r>
        <w:rPr>
          <w:rFonts w:hint="eastAsia" w:ascii="方正仿宋_GBK" w:hAnsi="Times New Roman" w:eastAsia="方正仿宋_GBK" w:cs="Times New Roman"/>
          <w:color w:val="auto"/>
          <w:kern w:val="2"/>
          <w:sz w:val="24"/>
          <w:szCs w:val="24"/>
          <w:highlight w:val="none"/>
          <w:lang w:val="en-US" w:eastAsia="zh-CN" w:bidi="ar-SA"/>
        </w:rPr>
        <w:t>月</w:t>
      </w:r>
      <w:r>
        <w:rPr>
          <w:rFonts w:hint="eastAsia" w:ascii="方正仿宋_GBK" w:eastAsia="方正仿宋_GBK" w:cs="Times New Roman"/>
          <w:color w:val="auto"/>
          <w:kern w:val="2"/>
          <w:sz w:val="24"/>
          <w:szCs w:val="24"/>
          <w:highlight w:val="none"/>
          <w:u w:val="single"/>
          <w:lang w:val="en-US" w:eastAsia="zh-CN" w:bidi="ar-SA"/>
        </w:rPr>
        <w:t>11</w:t>
      </w:r>
      <w:r>
        <w:rPr>
          <w:rFonts w:hint="eastAsia" w:ascii="方正仿宋_GBK" w:hAnsi="Times New Roman" w:eastAsia="方正仿宋_GBK" w:cs="Times New Roman"/>
          <w:color w:val="auto"/>
          <w:kern w:val="2"/>
          <w:sz w:val="24"/>
          <w:szCs w:val="24"/>
          <w:highlight w:val="none"/>
          <w:lang w:val="en-US" w:eastAsia="zh-CN" w:bidi="ar-SA"/>
        </w:rPr>
        <w:t>日</w:t>
      </w:r>
      <w:bookmarkStart w:id="9" w:name="_GoBack"/>
      <w:bookmarkEnd w:id="9"/>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562B3"/>
    <w:multiLevelType w:val="singleLevel"/>
    <w:tmpl w:val="792562B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D63CE"/>
    <w:rsid w:val="06417C21"/>
    <w:rsid w:val="0D7A05FC"/>
    <w:rsid w:val="426F49E6"/>
    <w:rsid w:val="454733BB"/>
    <w:rsid w:val="4AFD63C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2018-05-30T10:57:00Z</dcterms:created>
  <dc:creator>Administrator</dc:creator>
  <cp:lastModifiedBy>Administrator</cp:lastModifiedBy>
  <dcterms:modified xsi:type="dcterms:W3CDTF">2018-07-11T08:52:57Z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